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03079B7D"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361D34">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561A01">
        <w:rPr>
          <w:rFonts w:ascii="Arial" w:eastAsiaTheme="minorEastAsia" w:hAnsi="Arial" w:cs="Arial"/>
          <w:b/>
          <w:sz w:val="24"/>
          <w:szCs w:val="24"/>
          <w:lang w:eastAsia="zh-CN"/>
        </w:rPr>
        <w:t>4604</w:t>
      </w:r>
    </w:p>
    <w:p w14:paraId="2CC33A46" w14:textId="1C8CCDE9" w:rsidR="00192071" w:rsidRPr="00361D34" w:rsidRDefault="00361D34" w:rsidP="00361D3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603D217E" w14:textId="282235C1"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D21A57">
        <w:rPr>
          <w:rFonts w:ascii="Arial" w:hAnsi="Arial" w:cs="Arial"/>
          <w:bCs/>
          <w:sz w:val="22"/>
        </w:rPr>
        <w:t>Initial power boosting result for NB-IoT-NTN for a PC2 NR PA</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3CF019EE" w14:textId="3AFA61AB" w:rsidR="00A0316F"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D21A57" w:rsidRPr="00D21A57">
        <w:rPr>
          <w:rFonts w:ascii="Arial" w:hAnsi="Arial" w:cs="Arial"/>
          <w:bCs/>
          <w:sz w:val="22"/>
          <w:lang w:val="en-US"/>
        </w:rPr>
        <w:t>7.10.2.3.1</w:t>
      </w:r>
      <w:r w:rsidR="00D21A57" w:rsidRPr="00D21A57">
        <w:rPr>
          <w:rFonts w:ascii="Arial" w:hAnsi="Arial" w:cs="Arial"/>
          <w:bCs/>
          <w:sz w:val="22"/>
          <w:lang w:val="en-US"/>
        </w:rPr>
        <w:tab/>
        <w:t>Tx requirements</w:t>
      </w:r>
      <w:r w:rsidR="00D21A57" w:rsidRPr="00D21A57">
        <w:rPr>
          <w:rFonts w:ascii="Arial" w:hAnsi="Arial" w:cs="Arial"/>
          <w:bCs/>
          <w:sz w:val="22"/>
          <w:lang w:val="en-US"/>
        </w:rPr>
        <w:tab/>
        <w:t>[</w:t>
      </w:r>
      <w:proofErr w:type="spellStart"/>
      <w:r w:rsidR="00D21A57" w:rsidRPr="00D21A57">
        <w:rPr>
          <w:rFonts w:ascii="Arial" w:hAnsi="Arial" w:cs="Arial"/>
          <w:bCs/>
          <w:sz w:val="22"/>
          <w:lang w:val="en-US"/>
        </w:rPr>
        <w:t>NR_IoT_NTN_req_test_enh</w:t>
      </w:r>
      <w:proofErr w:type="spellEnd"/>
      <w:r w:rsidR="00D21A57" w:rsidRPr="00D21A57">
        <w:rPr>
          <w:rFonts w:ascii="Arial" w:hAnsi="Arial" w:cs="Arial"/>
          <w:bCs/>
          <w:sz w:val="22"/>
          <w:lang w:val="en-US"/>
        </w:rPr>
        <w:t>-Core]</w:t>
      </w:r>
    </w:p>
    <w:p w14:paraId="5E188A5E" w14:textId="742EAE60"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131615">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2750EDA" w:rsidR="00F2750F" w:rsidRPr="00AB149D" w:rsidRDefault="00A37ACD" w:rsidP="00561A01">
      <w:pPr>
        <w:tabs>
          <w:tab w:val="left" w:pos="10080"/>
        </w:tabs>
        <w:spacing w:after="0"/>
      </w:pPr>
      <w:bookmarkStart w:id="2" w:name="_Hlk149936446"/>
      <w:r>
        <w:t xml:space="preserve">In </w:t>
      </w:r>
      <w:r w:rsidR="000F5302">
        <w:t>R4#11</w:t>
      </w:r>
      <w:r w:rsidR="00D21A57">
        <w:t>4</w:t>
      </w:r>
      <w:r w:rsidR="000D0F25">
        <w:t xml:space="preserve"> we </w:t>
      </w:r>
      <w:bookmarkStart w:id="3" w:name="_Hlk165324434"/>
      <w:r w:rsidR="00D21A57">
        <w:t xml:space="preserve">proposed the IoT NTN HPUE requirement for smartphone </w:t>
      </w:r>
      <w:r w:rsidR="00D21A57">
        <w:rPr>
          <w:rFonts w:eastAsia="Arial"/>
          <w:lang w:eastAsia="zh-CN"/>
        </w:rPr>
        <w:t xml:space="preserve">to be common for implementations with a GSM PA or a PC2 1Tx NR PA in [1]. </w:t>
      </w:r>
      <w:bookmarkStart w:id="4" w:name="_Hlk194095343"/>
      <w:r w:rsidR="00F22418">
        <w:rPr>
          <w:rFonts w:eastAsia="Arial"/>
          <w:lang w:eastAsia="zh-CN"/>
        </w:rPr>
        <w:t xml:space="preserve">A way forward [2] captured </w:t>
      </w:r>
      <w:proofErr w:type="gramStart"/>
      <w:r w:rsidR="00F22418">
        <w:rPr>
          <w:rFonts w:eastAsia="Arial"/>
          <w:lang w:eastAsia="zh-CN"/>
        </w:rPr>
        <w:t>a number of</w:t>
      </w:r>
      <w:proofErr w:type="gramEnd"/>
      <w:r w:rsidR="00F22418">
        <w:rPr>
          <w:rFonts w:eastAsia="Arial"/>
          <w:lang w:eastAsia="zh-CN"/>
        </w:rPr>
        <w:t xml:space="preserve"> agreements on NB-IoT NTN and </w:t>
      </w:r>
      <w:proofErr w:type="spellStart"/>
      <w:r w:rsidR="00F22418">
        <w:rPr>
          <w:rFonts w:eastAsia="Arial"/>
          <w:lang w:eastAsia="zh-CN"/>
        </w:rPr>
        <w:t>eMTC</w:t>
      </w:r>
      <w:proofErr w:type="spellEnd"/>
      <w:r w:rsidR="00F22418">
        <w:rPr>
          <w:rFonts w:eastAsia="Arial"/>
          <w:lang w:eastAsia="zh-CN"/>
        </w:rPr>
        <w:t>-NTN HPUE work that are the basis of the present work</w:t>
      </w:r>
      <w:bookmarkEnd w:id="4"/>
      <w:r w:rsidR="00F22418">
        <w:rPr>
          <w:rFonts w:eastAsia="Arial"/>
          <w:lang w:eastAsia="zh-CN"/>
        </w:rPr>
        <w:t xml:space="preserve">. </w:t>
      </w:r>
      <w:r w:rsidR="00D21A57">
        <w:rPr>
          <w:rFonts w:eastAsia="Arial"/>
          <w:lang w:eastAsia="zh-CN"/>
        </w:rPr>
        <w:t xml:space="preserve">In this contribution, we provide preliminary measurement results on a PC2 1Tx PA. </w:t>
      </w:r>
      <w:r w:rsidR="005323BD">
        <w:rPr>
          <w:rFonts w:eastAsia="Arial"/>
          <w:lang w:eastAsia="zh-CN"/>
        </w:rPr>
        <w:t>F</w:t>
      </w:r>
      <w:r w:rsidR="00D21A57">
        <w:rPr>
          <w:rFonts w:eastAsia="Arial"/>
          <w:lang w:eastAsia="zh-CN"/>
        </w:rPr>
        <w:t xml:space="preserve">urther investigations will be needed as the measurement was made with </w:t>
      </w:r>
      <w:r w:rsidR="005323BD">
        <w:rPr>
          <w:rFonts w:eastAsia="Arial"/>
          <w:lang w:eastAsia="zh-CN"/>
        </w:rPr>
        <w:t xml:space="preserve">external </w:t>
      </w:r>
      <w:r w:rsidR="00D21A57">
        <w:rPr>
          <w:rFonts w:eastAsia="Arial"/>
          <w:lang w:eastAsia="zh-CN"/>
        </w:rPr>
        <w:t>current and thermal limitations based on NR waveforms which did not allow the maximum boosting and more power should be achievable.</w:t>
      </w:r>
    </w:p>
    <w:bookmarkEnd w:id="2"/>
    <w:bookmarkEnd w:id="3"/>
    <w:p w14:paraId="61F277A6" w14:textId="7E3955D8" w:rsidR="00343AA7" w:rsidRDefault="00B80DFB" w:rsidP="00446528">
      <w:pPr>
        <w:pStyle w:val="Heading1"/>
        <w:numPr>
          <w:ilvl w:val="0"/>
          <w:numId w:val="1"/>
        </w:numPr>
        <w:ind w:left="567" w:hanging="567"/>
      </w:pPr>
      <w:r>
        <w:t>Discussion</w:t>
      </w:r>
    </w:p>
    <w:p w14:paraId="7F8AB393" w14:textId="7CFFE476" w:rsidR="00B34C4C" w:rsidRDefault="00C75046" w:rsidP="0090677C">
      <w:pPr>
        <w:pStyle w:val="Heading2"/>
        <w:rPr>
          <w:rFonts w:eastAsiaTheme="minorEastAsia"/>
          <w:b/>
          <w:bCs/>
          <w:lang w:val="en-US"/>
        </w:rPr>
      </w:pPr>
      <w:r>
        <w:rPr>
          <w:rFonts w:eastAsia="Arial"/>
          <w:lang w:eastAsia="zh-CN"/>
        </w:rPr>
        <w:t xml:space="preserve">2.1 </w:t>
      </w:r>
      <w:r w:rsidR="00A0316F">
        <w:rPr>
          <w:rFonts w:eastAsia="Arial"/>
          <w:lang w:eastAsia="zh-CN"/>
        </w:rPr>
        <w:t>Way forward input</w:t>
      </w:r>
    </w:p>
    <w:p w14:paraId="127740CB" w14:textId="6CE1030F" w:rsidR="00A0316F" w:rsidRPr="00A0316F" w:rsidRDefault="00A0316F" w:rsidP="00A0316F">
      <w:pPr>
        <w:spacing w:after="0"/>
        <w:rPr>
          <w:bCs/>
          <w:lang w:eastAsia="zh-CN"/>
        </w:rPr>
      </w:pPr>
      <w:r w:rsidRPr="00A0316F">
        <w:rPr>
          <w:bCs/>
          <w:lang w:eastAsia="zh-CN"/>
        </w:rPr>
        <w:t xml:space="preserve">The way forwards [2] captured an agreement on </w:t>
      </w:r>
      <w:r w:rsidR="00E57D3B">
        <w:rPr>
          <w:bCs/>
          <w:lang w:eastAsia="zh-CN"/>
        </w:rPr>
        <w:t>IoT-NTN HPEU topics</w:t>
      </w:r>
      <w:r w:rsidRPr="00A0316F">
        <w:rPr>
          <w:bCs/>
          <w:lang w:eastAsia="zh-CN"/>
        </w:rPr>
        <w:t>:</w:t>
      </w:r>
    </w:p>
    <w:p w14:paraId="2DD875BD" w14:textId="77777777" w:rsidR="00A0316F" w:rsidRDefault="00A0316F" w:rsidP="00A0316F">
      <w:pPr>
        <w:spacing w:after="0"/>
        <w:rPr>
          <w:b/>
          <w:i/>
          <w:iCs/>
          <w:lang w:eastAsia="zh-CN"/>
        </w:rPr>
      </w:pPr>
    </w:p>
    <w:p w14:paraId="7DF6AF50" w14:textId="29AA1220" w:rsidR="00D21A57" w:rsidRPr="00EC085B" w:rsidRDefault="00D21A57" w:rsidP="00D21A57">
      <w:pPr>
        <w:rPr>
          <w:b/>
          <w:i/>
          <w:iCs/>
          <w:u w:val="single"/>
          <w:lang w:eastAsia="ko-KR"/>
        </w:rPr>
      </w:pPr>
      <w:r w:rsidRPr="00EC085B">
        <w:rPr>
          <w:b/>
          <w:i/>
          <w:iCs/>
          <w:u w:val="single"/>
          <w:lang w:eastAsia="ko-KR"/>
        </w:rPr>
        <w:t>Issue 1-1</w:t>
      </w:r>
      <w:r w:rsidRPr="00EC085B">
        <w:rPr>
          <w:b/>
          <w:i/>
          <w:iCs/>
          <w:u w:val="single"/>
          <w:lang w:eastAsia="zh-CN"/>
        </w:rPr>
        <w:t>-1</w:t>
      </w:r>
      <w:r w:rsidRPr="00EC085B">
        <w:rPr>
          <w:b/>
          <w:i/>
          <w:iCs/>
          <w:u w:val="single"/>
          <w:lang w:eastAsia="ko-KR"/>
        </w:rPr>
        <w:t>: ACLR for NB-</w:t>
      </w:r>
      <w:proofErr w:type="spellStart"/>
      <w:r w:rsidRPr="00EC085B">
        <w:rPr>
          <w:b/>
          <w:i/>
          <w:iCs/>
          <w:u w:val="single"/>
          <w:lang w:eastAsia="ko-KR"/>
        </w:rPr>
        <w:t>Iot</w:t>
      </w:r>
      <w:proofErr w:type="spellEnd"/>
      <w:r w:rsidRPr="00EC085B">
        <w:rPr>
          <w:b/>
          <w:i/>
          <w:iCs/>
          <w:u w:val="single"/>
          <w:lang w:eastAsia="ko-KR"/>
        </w:rPr>
        <w:t xml:space="preserve"> based </w:t>
      </w:r>
      <w:proofErr w:type="spellStart"/>
      <w:r w:rsidRPr="00EC085B">
        <w:rPr>
          <w:b/>
          <w:i/>
          <w:iCs/>
          <w:u w:val="single"/>
          <w:lang w:eastAsia="ko-KR"/>
        </w:rPr>
        <w:t>Iot</w:t>
      </w:r>
      <w:proofErr w:type="spellEnd"/>
      <w:r w:rsidRPr="00EC085B">
        <w:rPr>
          <w:b/>
          <w:i/>
          <w:iCs/>
          <w:u w:val="single"/>
          <w:lang w:eastAsia="ko-KR"/>
        </w:rPr>
        <w:t>-NTN for PC1/</w:t>
      </w:r>
      <w:proofErr w:type="gramStart"/>
      <w:r w:rsidRPr="00EC085B">
        <w:rPr>
          <w:b/>
          <w:i/>
          <w:iCs/>
          <w:u w:val="single"/>
          <w:lang w:eastAsia="ko-KR"/>
        </w:rPr>
        <w:t>2;</w:t>
      </w:r>
      <w:proofErr w:type="gramEnd"/>
    </w:p>
    <w:p w14:paraId="41B1FA65" w14:textId="5933F3EB" w:rsidR="00D21A57" w:rsidRPr="00EC085B" w:rsidRDefault="00D21A57" w:rsidP="00D21A57">
      <w:pPr>
        <w:rPr>
          <w:i/>
          <w:iCs/>
          <w:szCs w:val="24"/>
          <w:lang w:eastAsia="zh-CN"/>
        </w:rPr>
      </w:pPr>
      <w:r w:rsidRPr="00EC085B">
        <w:rPr>
          <w:i/>
          <w:iCs/>
          <w:lang w:eastAsia="zh-CN"/>
        </w:rPr>
        <w:t xml:space="preserve">Agreement: </w:t>
      </w:r>
      <w:r w:rsidRPr="00EC085B">
        <w:rPr>
          <w:i/>
          <w:iCs/>
          <w:szCs w:val="24"/>
          <w:lang w:eastAsia="zh-CN"/>
        </w:rPr>
        <w:t>Re-use current PC3 ACLR (UTRA_ACLR = 37dBc) for PC1/2.</w:t>
      </w:r>
    </w:p>
    <w:p w14:paraId="59230CFB" w14:textId="77777777" w:rsidR="00D21A57" w:rsidRPr="00EC085B" w:rsidRDefault="00D21A57" w:rsidP="00D21A57">
      <w:pPr>
        <w:rPr>
          <w:b/>
          <w:i/>
          <w:iCs/>
          <w:u w:val="single"/>
          <w:lang w:eastAsia="ko-KR"/>
        </w:rPr>
      </w:pPr>
      <w:r w:rsidRPr="00EC085B">
        <w:rPr>
          <w:b/>
          <w:i/>
          <w:iCs/>
          <w:u w:val="single"/>
          <w:lang w:eastAsia="ko-KR"/>
        </w:rPr>
        <w:t>Issue 1-1</w:t>
      </w:r>
      <w:r w:rsidRPr="00EC085B">
        <w:rPr>
          <w:b/>
          <w:i/>
          <w:iCs/>
          <w:u w:val="single"/>
          <w:lang w:eastAsia="zh-CN"/>
        </w:rPr>
        <w:t>-3</w:t>
      </w:r>
      <w:r w:rsidRPr="00EC085B">
        <w:rPr>
          <w:b/>
          <w:i/>
          <w:iCs/>
          <w:u w:val="single"/>
          <w:lang w:eastAsia="ko-KR"/>
        </w:rPr>
        <w:t>: SEM for NB-</w:t>
      </w:r>
      <w:proofErr w:type="spellStart"/>
      <w:r w:rsidRPr="00EC085B">
        <w:rPr>
          <w:b/>
          <w:i/>
          <w:iCs/>
          <w:u w:val="single"/>
          <w:lang w:eastAsia="ko-KR"/>
        </w:rPr>
        <w:t>Iot</w:t>
      </w:r>
      <w:proofErr w:type="spellEnd"/>
      <w:r w:rsidRPr="00EC085B">
        <w:rPr>
          <w:b/>
          <w:i/>
          <w:iCs/>
          <w:u w:val="single"/>
          <w:lang w:eastAsia="ko-KR"/>
        </w:rPr>
        <w:t xml:space="preserve"> based NTN for PC1/2</w:t>
      </w:r>
    </w:p>
    <w:p w14:paraId="4E9AAEBE" w14:textId="6675FB15" w:rsidR="00D21A57" w:rsidRPr="00EC085B" w:rsidRDefault="00D21A57" w:rsidP="00D21A57">
      <w:pPr>
        <w:rPr>
          <w:rFonts w:eastAsiaTheme="minorEastAsia"/>
          <w:i/>
          <w:iCs/>
          <w:lang w:eastAsia="zh-CN"/>
        </w:rPr>
      </w:pPr>
      <w:r w:rsidRPr="00EC085B">
        <w:rPr>
          <w:rFonts w:eastAsiaTheme="minorEastAsia"/>
          <w:i/>
          <w:iCs/>
          <w:lang w:eastAsia="zh-CN"/>
        </w:rPr>
        <w:t>Agreement</w:t>
      </w:r>
      <w:r w:rsidRPr="00EC085B">
        <w:rPr>
          <w:rFonts w:eastAsiaTheme="minorEastAsia"/>
          <w:b/>
          <w:bCs/>
          <w:i/>
          <w:iCs/>
          <w:lang w:eastAsia="zh-CN"/>
        </w:rPr>
        <w:t xml:space="preserve">: </w:t>
      </w:r>
      <w:r w:rsidRPr="00EC085B">
        <w:rPr>
          <w:rFonts w:eastAsiaTheme="minorEastAsia"/>
          <w:i/>
          <w:iCs/>
          <w:lang w:eastAsia="zh-CN"/>
        </w:rPr>
        <w:t>Reusing SEM requirements defined for PC3 for NB-</w:t>
      </w:r>
      <w:proofErr w:type="spellStart"/>
      <w:r w:rsidRPr="00EC085B">
        <w:rPr>
          <w:rFonts w:eastAsiaTheme="minorEastAsia"/>
          <w:i/>
          <w:iCs/>
          <w:lang w:eastAsia="zh-CN"/>
        </w:rPr>
        <w:t>Iot</w:t>
      </w:r>
      <w:proofErr w:type="spellEnd"/>
      <w:r w:rsidRPr="00EC085B">
        <w:rPr>
          <w:rFonts w:eastAsiaTheme="minorEastAsia"/>
          <w:i/>
          <w:iCs/>
          <w:lang w:eastAsia="zh-CN"/>
        </w:rPr>
        <w:t xml:space="preserve"> based </w:t>
      </w:r>
      <w:proofErr w:type="spellStart"/>
      <w:r w:rsidRPr="00EC085B">
        <w:rPr>
          <w:rFonts w:eastAsiaTheme="minorEastAsia"/>
          <w:i/>
          <w:iCs/>
          <w:lang w:eastAsia="zh-CN"/>
        </w:rPr>
        <w:t>Iot</w:t>
      </w:r>
      <w:proofErr w:type="spellEnd"/>
      <w:r w:rsidRPr="00EC085B">
        <w:rPr>
          <w:rFonts w:eastAsiaTheme="minorEastAsia"/>
          <w:i/>
          <w:iCs/>
          <w:lang w:eastAsia="zh-CN"/>
        </w:rPr>
        <w:t>-NTN</w:t>
      </w:r>
    </w:p>
    <w:p w14:paraId="572E3702" w14:textId="754512F9" w:rsidR="005323BD" w:rsidRPr="00EC085B" w:rsidRDefault="005323BD" w:rsidP="00D21A57">
      <w:pPr>
        <w:rPr>
          <w:lang w:eastAsia="zh-CN"/>
        </w:rPr>
      </w:pPr>
      <w:r w:rsidRPr="00EC085B">
        <w:rPr>
          <w:szCs w:val="24"/>
          <w:lang w:eastAsia="zh-CN"/>
        </w:rPr>
        <w:t>Due to the lack of time</w:t>
      </w:r>
      <w:r w:rsidR="00EC085B">
        <w:rPr>
          <w:szCs w:val="24"/>
          <w:lang w:eastAsia="zh-CN"/>
        </w:rPr>
        <w:t>,</w:t>
      </w:r>
      <w:r w:rsidRPr="00EC085B">
        <w:rPr>
          <w:szCs w:val="24"/>
          <w:lang w:eastAsia="zh-CN"/>
        </w:rPr>
        <w:t xml:space="preserve"> we only measured for UTRA ACLR</w:t>
      </w:r>
      <w:r w:rsidRPr="00EC085B">
        <w:rPr>
          <w:lang w:eastAsia="zh-CN"/>
        </w:rPr>
        <w:t xml:space="preserve"> and recognize that further limitations may occur with the NB-IoT SEM</w:t>
      </w:r>
      <w:r w:rsidR="00EC085B">
        <w:rPr>
          <w:lang w:eastAsia="zh-CN"/>
        </w:rPr>
        <w:t xml:space="preserve"> or in-band requirements</w:t>
      </w:r>
      <w:r w:rsidRPr="00EC085B">
        <w:rPr>
          <w:lang w:eastAsia="zh-CN"/>
        </w:rPr>
        <w:t>.</w:t>
      </w:r>
    </w:p>
    <w:p w14:paraId="23284472" w14:textId="77777777" w:rsidR="005323BD" w:rsidRPr="00EC085B" w:rsidRDefault="005323BD" w:rsidP="005323BD">
      <w:pPr>
        <w:rPr>
          <w:b/>
          <w:i/>
          <w:iCs/>
          <w:u w:val="single"/>
          <w:lang w:eastAsia="ko-KR"/>
        </w:rPr>
      </w:pPr>
      <w:r w:rsidRPr="00EC085B">
        <w:rPr>
          <w:b/>
          <w:i/>
          <w:iCs/>
          <w:u w:val="single"/>
          <w:lang w:eastAsia="ko-KR"/>
        </w:rPr>
        <w:t xml:space="preserve">Issue 1-2-3: The reference components need to be considered. </w:t>
      </w:r>
    </w:p>
    <w:p w14:paraId="75677B9F" w14:textId="5D7C6753" w:rsidR="005323BD" w:rsidRPr="00EC085B" w:rsidRDefault="005323BD" w:rsidP="00EC085B">
      <w:pPr>
        <w:spacing w:after="0"/>
        <w:rPr>
          <w:bCs/>
          <w:i/>
          <w:iCs/>
          <w:u w:val="single"/>
          <w:lang w:eastAsia="ko-KR"/>
        </w:rPr>
      </w:pPr>
      <w:r w:rsidRPr="00EC085B">
        <w:rPr>
          <w:i/>
          <w:iCs/>
          <w:lang w:val="en-US" w:eastAsia="zh-CN"/>
        </w:rPr>
        <w:t xml:space="preserve">Agreement: </w:t>
      </w:r>
      <w:r w:rsidRPr="00EC085B">
        <w:rPr>
          <w:bCs/>
          <w:i/>
          <w:iCs/>
          <w:u w:val="single"/>
          <w:lang w:eastAsia="ko-KR"/>
        </w:rPr>
        <w:t>The reference components need to be considered.</w:t>
      </w:r>
    </w:p>
    <w:p w14:paraId="1DFE77F4" w14:textId="77777777" w:rsidR="005323BD" w:rsidRPr="00EC085B" w:rsidRDefault="005323BD" w:rsidP="00EC085B">
      <w:pPr>
        <w:pStyle w:val="ListParagraph"/>
        <w:numPr>
          <w:ilvl w:val="0"/>
          <w:numId w:val="39"/>
        </w:numPr>
        <w:overflowPunct/>
        <w:autoSpaceDE/>
        <w:adjustRightInd/>
        <w:spacing w:after="0"/>
        <w:ind w:firstLineChars="0"/>
        <w:textAlignment w:val="auto"/>
        <w:rPr>
          <w:rFonts w:eastAsia="SimSun"/>
          <w:i/>
          <w:iCs/>
          <w:szCs w:val="24"/>
          <w:lang w:eastAsia="zh-CN"/>
        </w:rPr>
      </w:pPr>
      <w:r w:rsidRPr="00EC085B">
        <w:rPr>
          <w:rFonts w:eastAsia="SimSun"/>
          <w:i/>
          <w:iCs/>
          <w:szCs w:val="24"/>
          <w:lang w:eastAsia="zh-CN"/>
        </w:rPr>
        <w:t>For NB-</w:t>
      </w:r>
      <w:proofErr w:type="spellStart"/>
      <w:r w:rsidRPr="00EC085B">
        <w:rPr>
          <w:rFonts w:eastAsia="SimSun"/>
          <w:i/>
          <w:iCs/>
          <w:szCs w:val="24"/>
          <w:lang w:eastAsia="zh-CN"/>
        </w:rPr>
        <w:t>Iot</w:t>
      </w:r>
      <w:proofErr w:type="spellEnd"/>
      <w:r w:rsidRPr="00EC085B">
        <w:rPr>
          <w:rFonts w:eastAsia="SimSun"/>
          <w:i/>
          <w:iCs/>
          <w:szCs w:val="24"/>
          <w:lang w:eastAsia="zh-CN"/>
        </w:rPr>
        <w:t xml:space="preserve"> based </w:t>
      </w:r>
      <w:proofErr w:type="spellStart"/>
      <w:r w:rsidRPr="00EC085B">
        <w:rPr>
          <w:rFonts w:eastAsia="SimSun"/>
          <w:i/>
          <w:iCs/>
          <w:szCs w:val="24"/>
          <w:lang w:eastAsia="zh-CN"/>
        </w:rPr>
        <w:t>Iot</w:t>
      </w:r>
      <w:proofErr w:type="spellEnd"/>
      <w:r w:rsidRPr="00EC085B">
        <w:rPr>
          <w:rFonts w:eastAsia="SimSun"/>
          <w:i/>
          <w:iCs/>
          <w:szCs w:val="24"/>
          <w:lang w:eastAsia="zh-CN"/>
        </w:rPr>
        <w:t xml:space="preserve">-NTN, both GSM PA and NR 1Tx PC2 PA are taken into consideration in developing unified for one power </w:t>
      </w:r>
      <w:proofErr w:type="gramStart"/>
      <w:r w:rsidRPr="00EC085B">
        <w:rPr>
          <w:rFonts w:eastAsia="SimSun"/>
          <w:i/>
          <w:iCs/>
          <w:szCs w:val="24"/>
          <w:lang w:eastAsia="zh-CN"/>
        </w:rPr>
        <w:t>class;</w:t>
      </w:r>
      <w:proofErr w:type="gramEnd"/>
    </w:p>
    <w:p w14:paraId="464C826A" w14:textId="77777777" w:rsidR="005323BD" w:rsidRPr="00EC085B" w:rsidRDefault="005323BD" w:rsidP="00EC085B">
      <w:pPr>
        <w:pStyle w:val="ListParagraph"/>
        <w:numPr>
          <w:ilvl w:val="0"/>
          <w:numId w:val="39"/>
        </w:numPr>
        <w:overflowPunct/>
        <w:autoSpaceDE/>
        <w:adjustRightInd/>
        <w:spacing w:after="0"/>
        <w:ind w:firstLineChars="0"/>
        <w:textAlignment w:val="auto"/>
        <w:rPr>
          <w:rFonts w:eastAsiaTheme="minorEastAsia"/>
          <w:b/>
          <w:bCs/>
          <w:i/>
          <w:iCs/>
          <w:lang w:eastAsia="zh-CN"/>
        </w:rPr>
      </w:pPr>
      <w:r w:rsidRPr="00EC085B">
        <w:rPr>
          <w:rFonts w:eastAsia="SimSun"/>
          <w:i/>
          <w:iCs/>
          <w:szCs w:val="24"/>
          <w:lang w:eastAsia="zh-CN"/>
        </w:rPr>
        <w:t xml:space="preserve">For </w:t>
      </w:r>
      <w:proofErr w:type="spellStart"/>
      <w:r w:rsidRPr="00EC085B">
        <w:rPr>
          <w:rFonts w:eastAsia="SimSun"/>
          <w:i/>
          <w:iCs/>
          <w:szCs w:val="24"/>
          <w:lang w:eastAsia="zh-CN"/>
        </w:rPr>
        <w:t>eMTC</w:t>
      </w:r>
      <w:proofErr w:type="spellEnd"/>
      <w:r w:rsidRPr="00EC085B">
        <w:rPr>
          <w:rFonts w:eastAsia="SimSun"/>
          <w:i/>
          <w:iCs/>
          <w:szCs w:val="24"/>
          <w:lang w:eastAsia="zh-CN"/>
        </w:rPr>
        <w:t>-based IoT-NTN, HPUE for PC2 and NR 1Tx PC2 PA</w:t>
      </w:r>
    </w:p>
    <w:p w14:paraId="5EF69121" w14:textId="342A9766" w:rsidR="00A0316F" w:rsidRDefault="00A0316F" w:rsidP="00A0316F">
      <w:pPr>
        <w:spacing w:after="0"/>
        <w:rPr>
          <w:rFonts w:eastAsiaTheme="minorEastAsia"/>
          <w:i/>
          <w:iCs/>
          <w:lang w:eastAsia="ko-KR"/>
        </w:rPr>
      </w:pPr>
    </w:p>
    <w:p w14:paraId="0A2491B4" w14:textId="514869E6" w:rsidR="00A0316F" w:rsidRDefault="005323BD" w:rsidP="00A0316F">
      <w:pPr>
        <w:spacing w:after="0"/>
      </w:pPr>
      <w:r>
        <w:rPr>
          <w:rFonts w:eastAsiaTheme="minorEastAsia"/>
          <w:lang w:eastAsia="ko-KR"/>
        </w:rPr>
        <w:t xml:space="preserve">The measurements were performed on a PC2 1Tx Mid-band PA calibrated for 31dB ACLR for 20MHz QPSK DFT-s-OFDM 100RB0 waveform. </w:t>
      </w:r>
      <w:r>
        <w:rPr>
          <w:rFonts w:eastAsia="Arial"/>
          <w:lang w:eastAsia="zh-CN"/>
        </w:rPr>
        <w:t>Further investigations will be needed as the measurement was made with external current and thermal limitations based on NR waveforms which did not allow the maximum boosting and more power should be achievable.</w:t>
      </w:r>
    </w:p>
    <w:p w14:paraId="62138BD2" w14:textId="22E7ED61" w:rsidR="005323BD" w:rsidRDefault="005323BD" w:rsidP="00A0316F">
      <w:pPr>
        <w:spacing w:after="0"/>
      </w:pPr>
    </w:p>
    <w:p w14:paraId="74377BD3" w14:textId="15F6EFF7" w:rsidR="005323BD" w:rsidRDefault="005323BD" w:rsidP="005323BD">
      <w:pPr>
        <w:pStyle w:val="Heading2"/>
        <w:rPr>
          <w:rFonts w:eastAsiaTheme="minorEastAsia"/>
          <w:b/>
          <w:bCs/>
          <w:lang w:val="en-US"/>
        </w:rPr>
      </w:pPr>
      <w:r>
        <w:rPr>
          <w:rFonts w:eastAsia="Arial"/>
          <w:lang w:eastAsia="zh-CN"/>
        </w:rPr>
        <w:t>2.2 Measurement Results</w:t>
      </w:r>
    </w:p>
    <w:p w14:paraId="368A5FE8" w14:textId="1A3DA6DD" w:rsidR="005323BD" w:rsidRDefault="005323BD" w:rsidP="005323BD">
      <w:pPr>
        <w:spacing w:after="0"/>
        <w:rPr>
          <w:bCs/>
          <w:lang w:eastAsia="zh-CN"/>
        </w:rPr>
      </w:pPr>
      <w:r w:rsidRPr="00A0316F">
        <w:rPr>
          <w:bCs/>
          <w:lang w:eastAsia="zh-CN"/>
        </w:rPr>
        <w:t xml:space="preserve">The </w:t>
      </w:r>
      <w:r>
        <w:rPr>
          <w:bCs/>
          <w:lang w:eastAsia="zh-CN"/>
        </w:rPr>
        <w:t>measurement results are for a limited number of NB-IoT waveforms:</w:t>
      </w:r>
    </w:p>
    <w:p w14:paraId="4A371D70" w14:textId="099BCEDF" w:rsidR="005323BD" w:rsidRDefault="005323BD" w:rsidP="005323BD">
      <w:pPr>
        <w:pStyle w:val="ListParagraph"/>
        <w:numPr>
          <w:ilvl w:val="0"/>
          <w:numId w:val="40"/>
        </w:numPr>
        <w:spacing w:after="0"/>
        <w:ind w:firstLineChars="0"/>
      </w:pPr>
      <w:r>
        <w:t>Pi/2 BPSK waveforms with 1SCS at the edge or in the middle of the channel.</w:t>
      </w:r>
    </w:p>
    <w:p w14:paraId="186E8932" w14:textId="06DB09E2" w:rsidR="005323BD" w:rsidRDefault="005323BD" w:rsidP="005323BD">
      <w:pPr>
        <w:pStyle w:val="ListParagraph"/>
        <w:numPr>
          <w:ilvl w:val="0"/>
          <w:numId w:val="40"/>
        </w:numPr>
        <w:spacing w:after="0"/>
        <w:ind w:firstLineChars="0"/>
      </w:pPr>
      <w:r>
        <w:t>QPSK waveforms with 1SCS at the edge or in the middle of the channel.</w:t>
      </w:r>
    </w:p>
    <w:p w14:paraId="1C16CB31" w14:textId="44040213" w:rsidR="005323BD" w:rsidRDefault="005323BD" w:rsidP="005323BD">
      <w:pPr>
        <w:pStyle w:val="ListParagraph"/>
        <w:numPr>
          <w:ilvl w:val="0"/>
          <w:numId w:val="40"/>
        </w:numPr>
        <w:spacing w:after="0"/>
        <w:ind w:firstLineChars="0"/>
      </w:pPr>
      <w:r>
        <w:t>1RB QPSK waveform</w:t>
      </w:r>
      <w:r w:rsidR="00895A3C">
        <w:t>.</w:t>
      </w:r>
    </w:p>
    <w:p w14:paraId="395BF90F" w14:textId="563AC179" w:rsidR="005323BD" w:rsidRDefault="005323BD" w:rsidP="005323BD">
      <w:pPr>
        <w:pStyle w:val="ListParagraph"/>
        <w:numPr>
          <w:ilvl w:val="0"/>
          <w:numId w:val="40"/>
        </w:numPr>
        <w:spacing w:after="0"/>
        <w:ind w:firstLineChars="0"/>
      </w:pPr>
      <w:r>
        <w:t>Transceiver impairments were set at the nominal NR 28dB and the 34dB 256QAM image and carrier leakage level.</w:t>
      </w:r>
    </w:p>
    <w:p w14:paraId="271D2D1A" w14:textId="3A374D74" w:rsidR="005323BD" w:rsidRDefault="005323BD" w:rsidP="005323BD">
      <w:pPr>
        <w:pStyle w:val="ListParagraph"/>
        <w:numPr>
          <w:ilvl w:val="0"/>
          <w:numId w:val="40"/>
        </w:numPr>
        <w:spacing w:after="0"/>
        <w:ind w:firstLineChars="0"/>
      </w:pPr>
      <w:r>
        <w:t xml:space="preserve">The power levels are at the PA output and 2-3dB post PA losses assuming HD-FDD will need to be </w:t>
      </w:r>
      <w:r w:rsidR="00895A3C">
        <w:t xml:space="preserve">discussed </w:t>
      </w:r>
      <w:r>
        <w:t>further to have a common set of evaluation assumptions.</w:t>
      </w:r>
    </w:p>
    <w:p w14:paraId="7B7E3F72" w14:textId="6D875F8E" w:rsidR="008C5B42" w:rsidRDefault="008C5B42" w:rsidP="005323BD">
      <w:pPr>
        <w:pStyle w:val="ListParagraph"/>
        <w:numPr>
          <w:ilvl w:val="0"/>
          <w:numId w:val="40"/>
        </w:numPr>
        <w:spacing w:after="0"/>
        <w:ind w:firstLineChars="0"/>
      </w:pPr>
      <w:r>
        <w:t>The PA is designed for PC2 1Tx NR power with up to 4dB post PA losses (30dBm 0dB MPR level at the PA output)</w:t>
      </w:r>
    </w:p>
    <w:p w14:paraId="7D878503" w14:textId="1C350E4D" w:rsidR="005323BD" w:rsidRDefault="005323BD" w:rsidP="005323BD">
      <w:pPr>
        <w:spacing w:after="0"/>
      </w:pPr>
    </w:p>
    <w:p w14:paraId="3A725F10" w14:textId="087E02CD" w:rsidR="005323BD" w:rsidRDefault="005323BD" w:rsidP="005323BD">
      <w:pPr>
        <w:spacing w:after="0"/>
      </w:pPr>
      <w:r>
        <w:t xml:space="preserve">Table 1 provides the measurements of the </w:t>
      </w:r>
      <w:r w:rsidR="00895A3C">
        <w:t>five</w:t>
      </w:r>
      <w:r>
        <w:t xml:space="preserve"> waveforms per output power, current increase vs MPR0 and margins versus UTRA ACLR </w:t>
      </w:r>
      <w:r w:rsidR="004B04F3">
        <w:t>for 28dB and 34dB levels of impairments.</w:t>
      </w:r>
      <w:r>
        <w:t xml:space="preserve"> </w:t>
      </w:r>
    </w:p>
    <w:p w14:paraId="79B5ADE6" w14:textId="49DD49DD" w:rsidR="00DE7CDC" w:rsidRPr="004B04F3" w:rsidRDefault="00DE7CDC" w:rsidP="00A0316F">
      <w:pPr>
        <w:spacing w:after="0"/>
        <w:rPr>
          <w:rFonts w:asciiTheme="minorHAnsi" w:hAnsiTheme="minorHAnsi" w:cstheme="minorHAnsi"/>
          <w:sz w:val="18"/>
          <w:szCs w:val="18"/>
          <w:lang w:eastAsia="zh-CN"/>
        </w:rPr>
      </w:pPr>
    </w:p>
    <w:p w14:paraId="32D691CF" w14:textId="5BC491F0" w:rsidR="004B04F3" w:rsidRDefault="004B04F3" w:rsidP="004B04F3">
      <w:pPr>
        <w:pStyle w:val="Caption"/>
        <w:keepNext/>
      </w:pPr>
      <w:r>
        <w:t xml:space="preserve">Table </w:t>
      </w:r>
      <w:r>
        <w:fldChar w:fldCharType="begin"/>
      </w:r>
      <w:r>
        <w:instrText xml:space="preserve"> SEQ Table \* ARABIC </w:instrText>
      </w:r>
      <w:r>
        <w:fldChar w:fldCharType="separate"/>
      </w:r>
      <w:r>
        <w:rPr>
          <w:noProof/>
        </w:rPr>
        <w:t>1</w:t>
      </w:r>
      <w:r>
        <w:fldChar w:fldCharType="end"/>
      </w:r>
      <w:r>
        <w:t>: UTRA ACLR margin versus PA output power for various NB-IoT waveforms</w:t>
      </w:r>
    </w:p>
    <w:tbl>
      <w:tblPr>
        <w:tblW w:w="6165" w:type="dxa"/>
        <w:jc w:val="center"/>
        <w:tblLook w:val="04A0" w:firstRow="1" w:lastRow="0" w:firstColumn="1" w:lastColumn="0" w:noHBand="0" w:noVBand="1"/>
      </w:tblPr>
      <w:tblGrid>
        <w:gridCol w:w="1180"/>
        <w:gridCol w:w="559"/>
        <w:gridCol w:w="880"/>
        <w:gridCol w:w="536"/>
        <w:gridCol w:w="536"/>
        <w:gridCol w:w="559"/>
        <w:gridCol w:w="843"/>
        <w:gridCol w:w="536"/>
        <w:gridCol w:w="536"/>
      </w:tblGrid>
      <w:tr w:rsidR="004B04F3" w:rsidRPr="004B04F3" w14:paraId="343D2D21" w14:textId="77777777" w:rsidTr="004B04F3">
        <w:trPr>
          <w:trHeight w:val="300"/>
          <w:jc w:val="center"/>
        </w:trPr>
        <w:tc>
          <w:tcPr>
            <w:tcW w:w="1180" w:type="dxa"/>
            <w:tcBorders>
              <w:top w:val="nil"/>
              <w:left w:val="nil"/>
              <w:bottom w:val="nil"/>
              <w:right w:val="nil"/>
            </w:tcBorders>
            <w:shd w:val="clear" w:color="auto" w:fill="auto"/>
            <w:noWrap/>
            <w:hideMark/>
          </w:tcPr>
          <w:p w14:paraId="2132A8CF" w14:textId="77777777" w:rsidR="004B04F3" w:rsidRPr="004B04F3" w:rsidRDefault="004B04F3" w:rsidP="004B04F3">
            <w:pPr>
              <w:overflowPunct/>
              <w:autoSpaceDE/>
              <w:autoSpaceDN/>
              <w:adjustRightInd/>
              <w:spacing w:after="0"/>
              <w:textAlignment w:val="auto"/>
              <w:rPr>
                <w:rFonts w:asciiTheme="minorHAnsi" w:hAnsiTheme="minorHAnsi" w:cstheme="minorHAnsi"/>
                <w:sz w:val="18"/>
                <w:szCs w:val="18"/>
                <w:lang w:val="en-US" w:eastAsia="en-US"/>
              </w:rPr>
            </w:pPr>
          </w:p>
        </w:tc>
        <w:tc>
          <w:tcPr>
            <w:tcW w:w="251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2BFB4" w14:textId="77777777"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28dB impairment</w:t>
            </w:r>
          </w:p>
        </w:tc>
        <w:tc>
          <w:tcPr>
            <w:tcW w:w="2474" w:type="dxa"/>
            <w:gridSpan w:val="4"/>
            <w:tcBorders>
              <w:top w:val="single" w:sz="4" w:space="0" w:color="auto"/>
              <w:left w:val="nil"/>
              <w:bottom w:val="single" w:sz="4" w:space="0" w:color="auto"/>
              <w:right w:val="single" w:sz="4" w:space="0" w:color="auto"/>
            </w:tcBorders>
            <w:shd w:val="clear" w:color="auto" w:fill="auto"/>
            <w:noWrap/>
            <w:vAlign w:val="bottom"/>
            <w:hideMark/>
          </w:tcPr>
          <w:p w14:paraId="46012033" w14:textId="77777777"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34dB impairment</w:t>
            </w:r>
          </w:p>
        </w:tc>
      </w:tr>
      <w:tr w:rsidR="004B04F3" w:rsidRPr="004B04F3" w14:paraId="0A4503B8" w14:textId="77777777" w:rsidTr="004B04F3">
        <w:trPr>
          <w:trHeight w:val="503"/>
          <w:jc w:val="center"/>
        </w:trPr>
        <w:tc>
          <w:tcPr>
            <w:tcW w:w="1180" w:type="dxa"/>
            <w:tcBorders>
              <w:top w:val="nil"/>
              <w:left w:val="nil"/>
              <w:bottom w:val="nil"/>
              <w:right w:val="nil"/>
            </w:tcBorders>
            <w:shd w:val="clear" w:color="auto" w:fill="auto"/>
            <w:noWrap/>
            <w:hideMark/>
          </w:tcPr>
          <w:p w14:paraId="29F91458" w14:textId="77777777"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9" w:type="dxa"/>
            <w:tcBorders>
              <w:top w:val="nil"/>
              <w:left w:val="single" w:sz="4" w:space="0" w:color="auto"/>
              <w:bottom w:val="single" w:sz="4" w:space="0" w:color="auto"/>
              <w:right w:val="single" w:sz="4" w:space="0" w:color="auto"/>
            </w:tcBorders>
            <w:shd w:val="clear" w:color="auto" w:fill="auto"/>
            <w:noWrap/>
            <w:vAlign w:val="bottom"/>
            <w:hideMark/>
          </w:tcPr>
          <w:p w14:paraId="538E4723"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Pout</w:t>
            </w:r>
          </w:p>
        </w:tc>
        <w:tc>
          <w:tcPr>
            <w:tcW w:w="880" w:type="dxa"/>
            <w:vMerge w:val="restart"/>
            <w:tcBorders>
              <w:top w:val="nil"/>
              <w:left w:val="single" w:sz="4" w:space="0" w:color="auto"/>
              <w:bottom w:val="single" w:sz="4" w:space="0" w:color="auto"/>
              <w:right w:val="single" w:sz="4" w:space="0" w:color="auto"/>
            </w:tcBorders>
            <w:shd w:val="clear" w:color="auto" w:fill="auto"/>
            <w:vAlign w:val="bottom"/>
            <w:hideMark/>
          </w:tcPr>
          <w:p w14:paraId="144BFB62" w14:textId="77777777"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relative Current</w:t>
            </w:r>
          </w:p>
        </w:tc>
        <w:tc>
          <w:tcPr>
            <w:tcW w:w="1072" w:type="dxa"/>
            <w:gridSpan w:val="2"/>
            <w:tcBorders>
              <w:top w:val="single" w:sz="4" w:space="0" w:color="auto"/>
              <w:left w:val="nil"/>
              <w:bottom w:val="single" w:sz="4" w:space="0" w:color="auto"/>
              <w:right w:val="single" w:sz="4" w:space="0" w:color="auto"/>
            </w:tcBorders>
            <w:shd w:val="clear" w:color="auto" w:fill="auto"/>
            <w:vAlign w:val="bottom"/>
            <w:hideMark/>
          </w:tcPr>
          <w:p w14:paraId="41F7A722" w14:textId="77777777"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UTRA ACLR margin</w:t>
            </w:r>
          </w:p>
        </w:tc>
        <w:tc>
          <w:tcPr>
            <w:tcW w:w="559" w:type="dxa"/>
            <w:tcBorders>
              <w:top w:val="nil"/>
              <w:left w:val="nil"/>
              <w:bottom w:val="single" w:sz="4" w:space="0" w:color="auto"/>
              <w:right w:val="single" w:sz="4" w:space="0" w:color="auto"/>
            </w:tcBorders>
            <w:shd w:val="clear" w:color="auto" w:fill="auto"/>
            <w:noWrap/>
            <w:vAlign w:val="bottom"/>
            <w:hideMark/>
          </w:tcPr>
          <w:p w14:paraId="54D39699"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Pout</w:t>
            </w:r>
          </w:p>
        </w:tc>
        <w:tc>
          <w:tcPr>
            <w:tcW w:w="843" w:type="dxa"/>
            <w:vMerge w:val="restart"/>
            <w:tcBorders>
              <w:top w:val="nil"/>
              <w:left w:val="single" w:sz="4" w:space="0" w:color="auto"/>
              <w:bottom w:val="single" w:sz="4" w:space="0" w:color="auto"/>
              <w:right w:val="single" w:sz="4" w:space="0" w:color="auto"/>
            </w:tcBorders>
            <w:shd w:val="clear" w:color="auto" w:fill="auto"/>
            <w:vAlign w:val="bottom"/>
            <w:hideMark/>
          </w:tcPr>
          <w:p w14:paraId="54453DDA" w14:textId="77777777"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relative Current</w:t>
            </w:r>
          </w:p>
        </w:tc>
        <w:tc>
          <w:tcPr>
            <w:tcW w:w="1072" w:type="dxa"/>
            <w:gridSpan w:val="2"/>
            <w:tcBorders>
              <w:top w:val="single" w:sz="4" w:space="0" w:color="auto"/>
              <w:left w:val="nil"/>
              <w:bottom w:val="single" w:sz="4" w:space="0" w:color="auto"/>
              <w:right w:val="single" w:sz="4" w:space="0" w:color="auto"/>
            </w:tcBorders>
            <w:shd w:val="clear" w:color="auto" w:fill="auto"/>
            <w:vAlign w:val="bottom"/>
            <w:hideMark/>
          </w:tcPr>
          <w:p w14:paraId="7F62BEF7" w14:textId="77777777"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UTRA ACLR margin</w:t>
            </w:r>
          </w:p>
        </w:tc>
      </w:tr>
      <w:tr w:rsidR="004B04F3" w:rsidRPr="004B04F3" w14:paraId="12EAC93F" w14:textId="77777777" w:rsidTr="004B04F3">
        <w:trPr>
          <w:trHeight w:val="60"/>
          <w:jc w:val="center"/>
        </w:trPr>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14AC523C"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modulation</w:t>
            </w:r>
          </w:p>
        </w:tc>
        <w:tc>
          <w:tcPr>
            <w:tcW w:w="559" w:type="dxa"/>
            <w:tcBorders>
              <w:top w:val="nil"/>
              <w:left w:val="nil"/>
              <w:bottom w:val="single" w:sz="4" w:space="0" w:color="auto"/>
              <w:right w:val="single" w:sz="4" w:space="0" w:color="auto"/>
            </w:tcBorders>
            <w:shd w:val="clear" w:color="auto" w:fill="auto"/>
            <w:noWrap/>
            <w:vAlign w:val="bottom"/>
            <w:hideMark/>
          </w:tcPr>
          <w:p w14:paraId="31DB779A"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dBm</w:t>
            </w:r>
          </w:p>
        </w:tc>
        <w:tc>
          <w:tcPr>
            <w:tcW w:w="880" w:type="dxa"/>
            <w:vMerge/>
            <w:tcBorders>
              <w:top w:val="nil"/>
              <w:left w:val="single" w:sz="4" w:space="0" w:color="auto"/>
              <w:bottom w:val="single" w:sz="4" w:space="0" w:color="auto"/>
              <w:right w:val="single" w:sz="4" w:space="0" w:color="auto"/>
            </w:tcBorders>
            <w:vAlign w:val="center"/>
            <w:hideMark/>
          </w:tcPr>
          <w:p w14:paraId="4B882470"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bottom"/>
            <w:hideMark/>
          </w:tcPr>
          <w:p w14:paraId="40EAC031"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low</w:t>
            </w:r>
          </w:p>
        </w:tc>
        <w:tc>
          <w:tcPr>
            <w:tcW w:w="536" w:type="dxa"/>
            <w:tcBorders>
              <w:top w:val="nil"/>
              <w:left w:val="nil"/>
              <w:bottom w:val="single" w:sz="4" w:space="0" w:color="auto"/>
              <w:right w:val="single" w:sz="4" w:space="0" w:color="auto"/>
            </w:tcBorders>
            <w:shd w:val="clear" w:color="auto" w:fill="auto"/>
            <w:noWrap/>
            <w:vAlign w:val="bottom"/>
            <w:hideMark/>
          </w:tcPr>
          <w:p w14:paraId="08DBFA09"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high</w:t>
            </w:r>
          </w:p>
        </w:tc>
        <w:tc>
          <w:tcPr>
            <w:tcW w:w="559" w:type="dxa"/>
            <w:tcBorders>
              <w:top w:val="nil"/>
              <w:left w:val="nil"/>
              <w:bottom w:val="single" w:sz="4" w:space="0" w:color="auto"/>
              <w:right w:val="single" w:sz="4" w:space="0" w:color="auto"/>
            </w:tcBorders>
            <w:shd w:val="clear" w:color="auto" w:fill="auto"/>
            <w:noWrap/>
            <w:vAlign w:val="bottom"/>
            <w:hideMark/>
          </w:tcPr>
          <w:p w14:paraId="7A13E3C3"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dBm</w:t>
            </w:r>
          </w:p>
        </w:tc>
        <w:tc>
          <w:tcPr>
            <w:tcW w:w="843" w:type="dxa"/>
            <w:vMerge/>
            <w:tcBorders>
              <w:top w:val="nil"/>
              <w:left w:val="single" w:sz="4" w:space="0" w:color="auto"/>
              <w:bottom w:val="single" w:sz="4" w:space="0" w:color="auto"/>
              <w:right w:val="single" w:sz="4" w:space="0" w:color="auto"/>
            </w:tcBorders>
            <w:vAlign w:val="center"/>
            <w:hideMark/>
          </w:tcPr>
          <w:p w14:paraId="6815AE64"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bottom"/>
            <w:hideMark/>
          </w:tcPr>
          <w:p w14:paraId="22D02A97"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low</w:t>
            </w:r>
          </w:p>
        </w:tc>
        <w:tc>
          <w:tcPr>
            <w:tcW w:w="536" w:type="dxa"/>
            <w:tcBorders>
              <w:top w:val="nil"/>
              <w:left w:val="nil"/>
              <w:bottom w:val="single" w:sz="4" w:space="0" w:color="auto"/>
              <w:right w:val="single" w:sz="4" w:space="0" w:color="auto"/>
            </w:tcBorders>
            <w:shd w:val="clear" w:color="auto" w:fill="auto"/>
            <w:noWrap/>
            <w:vAlign w:val="bottom"/>
            <w:hideMark/>
          </w:tcPr>
          <w:p w14:paraId="26FEAACA"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high</w:t>
            </w:r>
          </w:p>
        </w:tc>
      </w:tr>
      <w:tr w:rsidR="004B04F3" w:rsidRPr="004B04F3" w14:paraId="7CFE3E57" w14:textId="77777777" w:rsidTr="004B04F3">
        <w:trPr>
          <w:trHeight w:val="60"/>
          <w:jc w:val="center"/>
        </w:trPr>
        <w:tc>
          <w:tcPr>
            <w:tcW w:w="1180" w:type="dxa"/>
            <w:vMerge w:val="restart"/>
            <w:tcBorders>
              <w:top w:val="nil"/>
              <w:left w:val="single" w:sz="4" w:space="0" w:color="auto"/>
              <w:bottom w:val="single" w:sz="4" w:space="0" w:color="000000"/>
              <w:right w:val="single" w:sz="4" w:space="0" w:color="auto"/>
            </w:tcBorders>
            <w:shd w:val="clear" w:color="auto" w:fill="auto"/>
            <w:hideMark/>
          </w:tcPr>
          <w:p w14:paraId="543742C3" w14:textId="7B81E0CF"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lastRenderedPageBreak/>
              <w:t xml:space="preserve">1SCS </w:t>
            </w:r>
            <w:r w:rsidRPr="004B04F3">
              <w:rPr>
                <w:rFonts w:asciiTheme="minorHAnsi" w:hAnsiTheme="minorHAnsi" w:cstheme="minorHAnsi"/>
                <w:color w:val="000000"/>
                <w:sz w:val="18"/>
                <w:szCs w:val="18"/>
                <w:lang w:val="en-US" w:eastAsia="en-US"/>
              </w:rPr>
              <w:br/>
            </w:r>
            <w:r w:rsidR="008C5B42">
              <w:rPr>
                <w:rFonts w:asciiTheme="minorHAnsi" w:hAnsiTheme="minorHAnsi" w:cstheme="minorHAnsi"/>
                <w:color w:val="000000"/>
                <w:sz w:val="18"/>
                <w:szCs w:val="18"/>
                <w:lang w:val="en-US" w:eastAsia="en-US"/>
              </w:rPr>
              <w:t>middle</w:t>
            </w:r>
            <w:r w:rsidRPr="004B04F3">
              <w:rPr>
                <w:rFonts w:asciiTheme="minorHAnsi" w:hAnsiTheme="minorHAnsi" w:cstheme="minorHAnsi"/>
                <w:color w:val="000000"/>
                <w:sz w:val="18"/>
                <w:szCs w:val="18"/>
                <w:lang w:val="en-US" w:eastAsia="en-US"/>
              </w:rPr>
              <w:br/>
              <w:t>Pi/2 BPSK</w:t>
            </w:r>
          </w:p>
        </w:tc>
        <w:tc>
          <w:tcPr>
            <w:tcW w:w="559" w:type="dxa"/>
            <w:tcBorders>
              <w:top w:val="nil"/>
              <w:left w:val="nil"/>
              <w:bottom w:val="single" w:sz="4" w:space="0" w:color="auto"/>
              <w:right w:val="single" w:sz="4" w:space="0" w:color="auto"/>
            </w:tcBorders>
            <w:shd w:val="clear" w:color="auto" w:fill="auto"/>
            <w:noWrap/>
            <w:vAlign w:val="bottom"/>
            <w:hideMark/>
          </w:tcPr>
          <w:p w14:paraId="67091A9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80" w:type="dxa"/>
            <w:tcBorders>
              <w:top w:val="nil"/>
              <w:left w:val="nil"/>
              <w:bottom w:val="single" w:sz="4" w:space="0" w:color="auto"/>
              <w:right w:val="single" w:sz="4" w:space="0" w:color="auto"/>
            </w:tcBorders>
            <w:shd w:val="clear" w:color="auto" w:fill="auto"/>
            <w:noWrap/>
            <w:vAlign w:val="bottom"/>
            <w:hideMark/>
          </w:tcPr>
          <w:p w14:paraId="634EE8D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6546E727"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31.8</w:t>
            </w:r>
          </w:p>
        </w:tc>
        <w:tc>
          <w:tcPr>
            <w:tcW w:w="536" w:type="dxa"/>
            <w:tcBorders>
              <w:top w:val="nil"/>
              <w:left w:val="nil"/>
              <w:bottom w:val="single" w:sz="4" w:space="0" w:color="auto"/>
              <w:right w:val="single" w:sz="4" w:space="0" w:color="auto"/>
            </w:tcBorders>
            <w:shd w:val="clear" w:color="auto" w:fill="auto"/>
            <w:noWrap/>
            <w:vAlign w:val="bottom"/>
            <w:hideMark/>
          </w:tcPr>
          <w:p w14:paraId="6C1EB0B6"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31.8</w:t>
            </w:r>
          </w:p>
        </w:tc>
        <w:tc>
          <w:tcPr>
            <w:tcW w:w="559" w:type="dxa"/>
            <w:tcBorders>
              <w:top w:val="nil"/>
              <w:left w:val="nil"/>
              <w:bottom w:val="single" w:sz="4" w:space="0" w:color="auto"/>
              <w:right w:val="single" w:sz="4" w:space="0" w:color="auto"/>
            </w:tcBorders>
            <w:shd w:val="clear" w:color="auto" w:fill="auto"/>
            <w:noWrap/>
            <w:vAlign w:val="bottom"/>
            <w:hideMark/>
          </w:tcPr>
          <w:p w14:paraId="706E2562"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43" w:type="dxa"/>
            <w:tcBorders>
              <w:top w:val="nil"/>
              <w:left w:val="nil"/>
              <w:bottom w:val="single" w:sz="4" w:space="0" w:color="auto"/>
              <w:right w:val="single" w:sz="4" w:space="0" w:color="auto"/>
            </w:tcBorders>
            <w:shd w:val="clear" w:color="auto" w:fill="auto"/>
            <w:noWrap/>
            <w:vAlign w:val="bottom"/>
            <w:hideMark/>
          </w:tcPr>
          <w:p w14:paraId="4C9D16C3"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417F21EA"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32.0</w:t>
            </w:r>
          </w:p>
        </w:tc>
        <w:tc>
          <w:tcPr>
            <w:tcW w:w="536" w:type="dxa"/>
            <w:tcBorders>
              <w:top w:val="nil"/>
              <w:left w:val="nil"/>
              <w:bottom w:val="single" w:sz="4" w:space="0" w:color="auto"/>
              <w:right w:val="single" w:sz="4" w:space="0" w:color="auto"/>
            </w:tcBorders>
            <w:shd w:val="clear" w:color="auto" w:fill="auto"/>
            <w:noWrap/>
            <w:vAlign w:val="bottom"/>
            <w:hideMark/>
          </w:tcPr>
          <w:p w14:paraId="4544D723"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32.0</w:t>
            </w:r>
          </w:p>
        </w:tc>
      </w:tr>
      <w:tr w:rsidR="004B04F3" w:rsidRPr="004B04F3" w14:paraId="47C2168F"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40AA8DA3"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6A086DC5"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80" w:type="dxa"/>
            <w:tcBorders>
              <w:top w:val="nil"/>
              <w:left w:val="nil"/>
              <w:bottom w:val="single" w:sz="4" w:space="0" w:color="auto"/>
              <w:right w:val="single" w:sz="4" w:space="0" w:color="auto"/>
            </w:tcBorders>
            <w:shd w:val="clear" w:color="auto" w:fill="auto"/>
            <w:noWrap/>
            <w:vAlign w:val="bottom"/>
            <w:hideMark/>
          </w:tcPr>
          <w:p w14:paraId="60680A50"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114%</w:t>
            </w:r>
          </w:p>
        </w:tc>
        <w:tc>
          <w:tcPr>
            <w:tcW w:w="536" w:type="dxa"/>
            <w:tcBorders>
              <w:top w:val="nil"/>
              <w:left w:val="nil"/>
              <w:bottom w:val="single" w:sz="4" w:space="0" w:color="auto"/>
              <w:right w:val="single" w:sz="4" w:space="0" w:color="auto"/>
            </w:tcBorders>
            <w:shd w:val="clear" w:color="auto" w:fill="auto"/>
            <w:noWrap/>
            <w:vAlign w:val="bottom"/>
            <w:hideMark/>
          </w:tcPr>
          <w:p w14:paraId="1260808C"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32.3</w:t>
            </w:r>
          </w:p>
        </w:tc>
        <w:tc>
          <w:tcPr>
            <w:tcW w:w="536" w:type="dxa"/>
            <w:tcBorders>
              <w:top w:val="nil"/>
              <w:left w:val="nil"/>
              <w:bottom w:val="single" w:sz="4" w:space="0" w:color="auto"/>
              <w:right w:val="single" w:sz="4" w:space="0" w:color="auto"/>
            </w:tcBorders>
            <w:shd w:val="clear" w:color="auto" w:fill="auto"/>
            <w:noWrap/>
            <w:vAlign w:val="bottom"/>
            <w:hideMark/>
          </w:tcPr>
          <w:p w14:paraId="1B303A67"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32.3</w:t>
            </w:r>
          </w:p>
        </w:tc>
        <w:tc>
          <w:tcPr>
            <w:tcW w:w="559" w:type="dxa"/>
            <w:tcBorders>
              <w:top w:val="nil"/>
              <w:left w:val="nil"/>
              <w:bottom w:val="single" w:sz="4" w:space="0" w:color="auto"/>
              <w:right w:val="single" w:sz="4" w:space="0" w:color="auto"/>
            </w:tcBorders>
            <w:shd w:val="clear" w:color="auto" w:fill="auto"/>
            <w:noWrap/>
            <w:vAlign w:val="bottom"/>
            <w:hideMark/>
          </w:tcPr>
          <w:p w14:paraId="243D3618"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43" w:type="dxa"/>
            <w:tcBorders>
              <w:top w:val="nil"/>
              <w:left w:val="nil"/>
              <w:bottom w:val="single" w:sz="4" w:space="0" w:color="auto"/>
              <w:right w:val="single" w:sz="4" w:space="0" w:color="auto"/>
            </w:tcBorders>
            <w:shd w:val="clear" w:color="auto" w:fill="auto"/>
            <w:noWrap/>
            <w:vAlign w:val="bottom"/>
            <w:hideMark/>
          </w:tcPr>
          <w:p w14:paraId="5B5104CB"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116%</w:t>
            </w:r>
          </w:p>
        </w:tc>
        <w:tc>
          <w:tcPr>
            <w:tcW w:w="536" w:type="dxa"/>
            <w:tcBorders>
              <w:top w:val="nil"/>
              <w:left w:val="nil"/>
              <w:bottom w:val="single" w:sz="4" w:space="0" w:color="auto"/>
              <w:right w:val="single" w:sz="4" w:space="0" w:color="auto"/>
            </w:tcBorders>
            <w:shd w:val="clear" w:color="auto" w:fill="auto"/>
            <w:noWrap/>
            <w:vAlign w:val="bottom"/>
            <w:hideMark/>
          </w:tcPr>
          <w:p w14:paraId="4E31C3E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32.9</w:t>
            </w:r>
          </w:p>
        </w:tc>
        <w:tc>
          <w:tcPr>
            <w:tcW w:w="536" w:type="dxa"/>
            <w:tcBorders>
              <w:top w:val="nil"/>
              <w:left w:val="nil"/>
              <w:bottom w:val="single" w:sz="4" w:space="0" w:color="auto"/>
              <w:right w:val="single" w:sz="4" w:space="0" w:color="auto"/>
            </w:tcBorders>
            <w:shd w:val="clear" w:color="auto" w:fill="auto"/>
            <w:noWrap/>
            <w:vAlign w:val="bottom"/>
            <w:hideMark/>
          </w:tcPr>
          <w:p w14:paraId="66362F51"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32.9</w:t>
            </w:r>
          </w:p>
        </w:tc>
      </w:tr>
      <w:tr w:rsidR="004B04F3" w:rsidRPr="004B04F3" w14:paraId="65915330"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7BE84782"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190C4515"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31.9</w:t>
            </w:r>
          </w:p>
        </w:tc>
        <w:tc>
          <w:tcPr>
            <w:tcW w:w="880" w:type="dxa"/>
            <w:tcBorders>
              <w:top w:val="nil"/>
              <w:left w:val="nil"/>
              <w:bottom w:val="single" w:sz="4" w:space="0" w:color="auto"/>
              <w:right w:val="single" w:sz="4" w:space="0" w:color="auto"/>
            </w:tcBorders>
            <w:shd w:val="clear" w:color="auto" w:fill="auto"/>
            <w:noWrap/>
            <w:vAlign w:val="bottom"/>
            <w:hideMark/>
          </w:tcPr>
          <w:p w14:paraId="06C2FE0A"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140%</w:t>
            </w:r>
          </w:p>
        </w:tc>
        <w:tc>
          <w:tcPr>
            <w:tcW w:w="536" w:type="dxa"/>
            <w:tcBorders>
              <w:top w:val="nil"/>
              <w:left w:val="nil"/>
              <w:bottom w:val="single" w:sz="4" w:space="0" w:color="auto"/>
              <w:right w:val="single" w:sz="4" w:space="0" w:color="auto"/>
            </w:tcBorders>
            <w:shd w:val="clear" w:color="auto" w:fill="auto"/>
            <w:noWrap/>
            <w:vAlign w:val="bottom"/>
            <w:hideMark/>
          </w:tcPr>
          <w:p w14:paraId="01987D15"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26.0</w:t>
            </w:r>
          </w:p>
        </w:tc>
        <w:tc>
          <w:tcPr>
            <w:tcW w:w="536" w:type="dxa"/>
            <w:tcBorders>
              <w:top w:val="nil"/>
              <w:left w:val="nil"/>
              <w:bottom w:val="single" w:sz="4" w:space="0" w:color="auto"/>
              <w:right w:val="single" w:sz="4" w:space="0" w:color="auto"/>
            </w:tcBorders>
            <w:shd w:val="clear" w:color="auto" w:fill="auto"/>
            <w:noWrap/>
            <w:vAlign w:val="bottom"/>
            <w:hideMark/>
          </w:tcPr>
          <w:p w14:paraId="520351F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26.0</w:t>
            </w:r>
          </w:p>
        </w:tc>
        <w:tc>
          <w:tcPr>
            <w:tcW w:w="559" w:type="dxa"/>
            <w:tcBorders>
              <w:top w:val="nil"/>
              <w:left w:val="nil"/>
              <w:bottom w:val="single" w:sz="4" w:space="0" w:color="auto"/>
              <w:right w:val="single" w:sz="4" w:space="0" w:color="auto"/>
            </w:tcBorders>
            <w:shd w:val="clear" w:color="auto" w:fill="auto"/>
            <w:noWrap/>
            <w:vAlign w:val="bottom"/>
            <w:hideMark/>
          </w:tcPr>
          <w:p w14:paraId="646D3C10"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31.4</w:t>
            </w:r>
          </w:p>
        </w:tc>
        <w:tc>
          <w:tcPr>
            <w:tcW w:w="843" w:type="dxa"/>
            <w:tcBorders>
              <w:top w:val="nil"/>
              <w:left w:val="nil"/>
              <w:bottom w:val="single" w:sz="4" w:space="0" w:color="auto"/>
              <w:right w:val="single" w:sz="4" w:space="0" w:color="auto"/>
            </w:tcBorders>
            <w:shd w:val="clear" w:color="auto" w:fill="auto"/>
            <w:noWrap/>
            <w:vAlign w:val="bottom"/>
            <w:hideMark/>
          </w:tcPr>
          <w:p w14:paraId="4DA61F5B"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132%</w:t>
            </w:r>
          </w:p>
        </w:tc>
        <w:tc>
          <w:tcPr>
            <w:tcW w:w="536" w:type="dxa"/>
            <w:tcBorders>
              <w:top w:val="nil"/>
              <w:left w:val="nil"/>
              <w:bottom w:val="single" w:sz="4" w:space="0" w:color="auto"/>
              <w:right w:val="single" w:sz="4" w:space="0" w:color="auto"/>
            </w:tcBorders>
            <w:shd w:val="clear" w:color="auto" w:fill="auto"/>
            <w:noWrap/>
            <w:vAlign w:val="bottom"/>
            <w:hideMark/>
          </w:tcPr>
          <w:p w14:paraId="790DD553"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27.1</w:t>
            </w:r>
          </w:p>
        </w:tc>
        <w:tc>
          <w:tcPr>
            <w:tcW w:w="536" w:type="dxa"/>
            <w:tcBorders>
              <w:top w:val="nil"/>
              <w:left w:val="nil"/>
              <w:bottom w:val="single" w:sz="4" w:space="0" w:color="auto"/>
              <w:right w:val="single" w:sz="4" w:space="0" w:color="auto"/>
            </w:tcBorders>
            <w:shd w:val="clear" w:color="auto" w:fill="auto"/>
            <w:noWrap/>
            <w:vAlign w:val="bottom"/>
            <w:hideMark/>
          </w:tcPr>
          <w:p w14:paraId="22BDC73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27.1</w:t>
            </w:r>
          </w:p>
        </w:tc>
      </w:tr>
      <w:tr w:rsidR="004B04F3" w:rsidRPr="004B04F3" w14:paraId="18CC84AD" w14:textId="77777777" w:rsidTr="004B04F3">
        <w:trPr>
          <w:trHeight w:val="60"/>
          <w:jc w:val="center"/>
        </w:trPr>
        <w:tc>
          <w:tcPr>
            <w:tcW w:w="1180" w:type="dxa"/>
            <w:vMerge w:val="restart"/>
            <w:tcBorders>
              <w:top w:val="nil"/>
              <w:left w:val="single" w:sz="4" w:space="0" w:color="auto"/>
              <w:bottom w:val="single" w:sz="4" w:space="0" w:color="000000"/>
              <w:right w:val="single" w:sz="4" w:space="0" w:color="auto"/>
            </w:tcBorders>
            <w:shd w:val="clear" w:color="auto" w:fill="auto"/>
            <w:hideMark/>
          </w:tcPr>
          <w:p w14:paraId="13314516" w14:textId="61047686"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xml:space="preserve">1SCS </w:t>
            </w:r>
            <w:r w:rsidRPr="004B04F3">
              <w:rPr>
                <w:rFonts w:asciiTheme="minorHAnsi" w:hAnsiTheme="minorHAnsi" w:cstheme="minorHAnsi"/>
                <w:color w:val="000000"/>
                <w:sz w:val="18"/>
                <w:szCs w:val="18"/>
                <w:lang w:val="en-US" w:eastAsia="en-US"/>
              </w:rPr>
              <w:br/>
            </w:r>
            <w:r w:rsidR="008C5B42">
              <w:rPr>
                <w:rFonts w:asciiTheme="minorHAnsi" w:hAnsiTheme="minorHAnsi" w:cstheme="minorHAnsi"/>
                <w:color w:val="000000"/>
                <w:sz w:val="18"/>
                <w:szCs w:val="18"/>
                <w:lang w:val="en-US" w:eastAsia="en-US"/>
              </w:rPr>
              <w:t>edge</w:t>
            </w:r>
            <w:r w:rsidRPr="004B04F3">
              <w:rPr>
                <w:rFonts w:asciiTheme="minorHAnsi" w:hAnsiTheme="minorHAnsi" w:cstheme="minorHAnsi"/>
                <w:color w:val="000000"/>
                <w:sz w:val="18"/>
                <w:szCs w:val="18"/>
                <w:lang w:val="en-US" w:eastAsia="en-US"/>
              </w:rPr>
              <w:br/>
              <w:t>Pi/2 BPSK</w:t>
            </w:r>
          </w:p>
        </w:tc>
        <w:tc>
          <w:tcPr>
            <w:tcW w:w="559" w:type="dxa"/>
            <w:tcBorders>
              <w:top w:val="nil"/>
              <w:left w:val="nil"/>
              <w:bottom w:val="single" w:sz="4" w:space="0" w:color="auto"/>
              <w:right w:val="single" w:sz="4" w:space="0" w:color="auto"/>
            </w:tcBorders>
            <w:shd w:val="clear" w:color="auto" w:fill="auto"/>
            <w:noWrap/>
            <w:vAlign w:val="bottom"/>
            <w:hideMark/>
          </w:tcPr>
          <w:p w14:paraId="64341F01"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80" w:type="dxa"/>
            <w:tcBorders>
              <w:top w:val="nil"/>
              <w:left w:val="nil"/>
              <w:bottom w:val="single" w:sz="4" w:space="0" w:color="auto"/>
              <w:right w:val="single" w:sz="4" w:space="0" w:color="auto"/>
            </w:tcBorders>
            <w:shd w:val="clear" w:color="auto" w:fill="auto"/>
            <w:noWrap/>
            <w:vAlign w:val="bottom"/>
            <w:hideMark/>
          </w:tcPr>
          <w:p w14:paraId="3E96442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25C251E2"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29.0</w:t>
            </w:r>
          </w:p>
        </w:tc>
        <w:tc>
          <w:tcPr>
            <w:tcW w:w="536" w:type="dxa"/>
            <w:tcBorders>
              <w:top w:val="nil"/>
              <w:left w:val="nil"/>
              <w:bottom w:val="single" w:sz="4" w:space="0" w:color="auto"/>
              <w:right w:val="single" w:sz="4" w:space="0" w:color="auto"/>
            </w:tcBorders>
            <w:shd w:val="clear" w:color="auto" w:fill="auto"/>
            <w:noWrap/>
            <w:vAlign w:val="bottom"/>
            <w:hideMark/>
          </w:tcPr>
          <w:p w14:paraId="2ACC1548"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29.0</w:t>
            </w:r>
          </w:p>
        </w:tc>
        <w:tc>
          <w:tcPr>
            <w:tcW w:w="559" w:type="dxa"/>
            <w:tcBorders>
              <w:top w:val="nil"/>
              <w:left w:val="nil"/>
              <w:bottom w:val="single" w:sz="4" w:space="0" w:color="auto"/>
              <w:right w:val="single" w:sz="4" w:space="0" w:color="auto"/>
            </w:tcBorders>
            <w:shd w:val="clear" w:color="auto" w:fill="auto"/>
            <w:noWrap/>
            <w:vAlign w:val="bottom"/>
            <w:hideMark/>
          </w:tcPr>
          <w:p w14:paraId="72593E40"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43" w:type="dxa"/>
            <w:tcBorders>
              <w:top w:val="nil"/>
              <w:left w:val="nil"/>
              <w:bottom w:val="single" w:sz="4" w:space="0" w:color="auto"/>
              <w:right w:val="single" w:sz="4" w:space="0" w:color="auto"/>
            </w:tcBorders>
            <w:shd w:val="clear" w:color="auto" w:fill="auto"/>
            <w:noWrap/>
            <w:vAlign w:val="bottom"/>
            <w:hideMark/>
          </w:tcPr>
          <w:p w14:paraId="64B607F2"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365BC1E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28.8</w:t>
            </w:r>
          </w:p>
        </w:tc>
        <w:tc>
          <w:tcPr>
            <w:tcW w:w="536" w:type="dxa"/>
            <w:tcBorders>
              <w:top w:val="nil"/>
              <w:left w:val="nil"/>
              <w:bottom w:val="single" w:sz="4" w:space="0" w:color="auto"/>
              <w:right w:val="single" w:sz="4" w:space="0" w:color="auto"/>
            </w:tcBorders>
            <w:shd w:val="clear" w:color="auto" w:fill="auto"/>
            <w:noWrap/>
            <w:vAlign w:val="bottom"/>
            <w:hideMark/>
          </w:tcPr>
          <w:p w14:paraId="792B9A5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28.8</w:t>
            </w:r>
          </w:p>
        </w:tc>
      </w:tr>
      <w:tr w:rsidR="004B04F3" w:rsidRPr="004B04F3" w14:paraId="4C823418"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790A9392"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25CC471F"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80" w:type="dxa"/>
            <w:tcBorders>
              <w:top w:val="nil"/>
              <w:left w:val="nil"/>
              <w:bottom w:val="single" w:sz="4" w:space="0" w:color="auto"/>
              <w:right w:val="single" w:sz="4" w:space="0" w:color="auto"/>
            </w:tcBorders>
            <w:shd w:val="clear" w:color="auto" w:fill="auto"/>
            <w:noWrap/>
            <w:vAlign w:val="bottom"/>
            <w:hideMark/>
          </w:tcPr>
          <w:p w14:paraId="28D12623"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114%</w:t>
            </w:r>
          </w:p>
        </w:tc>
        <w:tc>
          <w:tcPr>
            <w:tcW w:w="536" w:type="dxa"/>
            <w:tcBorders>
              <w:top w:val="nil"/>
              <w:left w:val="nil"/>
              <w:bottom w:val="single" w:sz="4" w:space="0" w:color="auto"/>
              <w:right w:val="single" w:sz="4" w:space="0" w:color="auto"/>
            </w:tcBorders>
            <w:shd w:val="clear" w:color="auto" w:fill="auto"/>
            <w:noWrap/>
            <w:vAlign w:val="bottom"/>
            <w:hideMark/>
          </w:tcPr>
          <w:p w14:paraId="7AB0D731"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29.5</w:t>
            </w:r>
          </w:p>
        </w:tc>
        <w:tc>
          <w:tcPr>
            <w:tcW w:w="536" w:type="dxa"/>
            <w:tcBorders>
              <w:top w:val="nil"/>
              <w:left w:val="nil"/>
              <w:bottom w:val="single" w:sz="4" w:space="0" w:color="auto"/>
              <w:right w:val="single" w:sz="4" w:space="0" w:color="auto"/>
            </w:tcBorders>
            <w:shd w:val="clear" w:color="auto" w:fill="auto"/>
            <w:noWrap/>
            <w:vAlign w:val="bottom"/>
            <w:hideMark/>
          </w:tcPr>
          <w:p w14:paraId="6D3C61C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29.5</w:t>
            </w:r>
          </w:p>
        </w:tc>
        <w:tc>
          <w:tcPr>
            <w:tcW w:w="559" w:type="dxa"/>
            <w:tcBorders>
              <w:top w:val="nil"/>
              <w:left w:val="nil"/>
              <w:bottom w:val="single" w:sz="4" w:space="0" w:color="auto"/>
              <w:right w:val="single" w:sz="4" w:space="0" w:color="auto"/>
            </w:tcBorders>
            <w:shd w:val="clear" w:color="auto" w:fill="auto"/>
            <w:noWrap/>
            <w:vAlign w:val="bottom"/>
            <w:hideMark/>
          </w:tcPr>
          <w:p w14:paraId="407F9CDB"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43" w:type="dxa"/>
            <w:tcBorders>
              <w:top w:val="nil"/>
              <w:left w:val="nil"/>
              <w:bottom w:val="single" w:sz="4" w:space="0" w:color="auto"/>
              <w:right w:val="single" w:sz="4" w:space="0" w:color="auto"/>
            </w:tcBorders>
            <w:shd w:val="clear" w:color="auto" w:fill="auto"/>
            <w:noWrap/>
            <w:vAlign w:val="bottom"/>
            <w:hideMark/>
          </w:tcPr>
          <w:p w14:paraId="7AB152C0"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117%</w:t>
            </w:r>
          </w:p>
        </w:tc>
        <w:tc>
          <w:tcPr>
            <w:tcW w:w="536" w:type="dxa"/>
            <w:tcBorders>
              <w:top w:val="nil"/>
              <w:left w:val="nil"/>
              <w:bottom w:val="single" w:sz="4" w:space="0" w:color="auto"/>
              <w:right w:val="single" w:sz="4" w:space="0" w:color="auto"/>
            </w:tcBorders>
            <w:shd w:val="clear" w:color="auto" w:fill="auto"/>
            <w:noWrap/>
            <w:vAlign w:val="bottom"/>
            <w:hideMark/>
          </w:tcPr>
          <w:p w14:paraId="7FC07DB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29.7</w:t>
            </w:r>
          </w:p>
        </w:tc>
        <w:tc>
          <w:tcPr>
            <w:tcW w:w="536" w:type="dxa"/>
            <w:tcBorders>
              <w:top w:val="nil"/>
              <w:left w:val="nil"/>
              <w:bottom w:val="single" w:sz="4" w:space="0" w:color="auto"/>
              <w:right w:val="single" w:sz="4" w:space="0" w:color="auto"/>
            </w:tcBorders>
            <w:shd w:val="clear" w:color="auto" w:fill="auto"/>
            <w:noWrap/>
            <w:vAlign w:val="bottom"/>
            <w:hideMark/>
          </w:tcPr>
          <w:p w14:paraId="16A4D4B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29.7</w:t>
            </w:r>
          </w:p>
        </w:tc>
      </w:tr>
      <w:tr w:rsidR="004B04F3" w:rsidRPr="004B04F3" w14:paraId="77B35FA1"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3A1569F7"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628EFC20"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31.9</w:t>
            </w:r>
          </w:p>
        </w:tc>
        <w:tc>
          <w:tcPr>
            <w:tcW w:w="880" w:type="dxa"/>
            <w:tcBorders>
              <w:top w:val="nil"/>
              <w:left w:val="nil"/>
              <w:bottom w:val="single" w:sz="4" w:space="0" w:color="auto"/>
              <w:right w:val="single" w:sz="4" w:space="0" w:color="auto"/>
            </w:tcBorders>
            <w:shd w:val="clear" w:color="auto" w:fill="auto"/>
            <w:noWrap/>
            <w:vAlign w:val="bottom"/>
            <w:hideMark/>
          </w:tcPr>
          <w:p w14:paraId="226B37D6"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141%</w:t>
            </w:r>
          </w:p>
        </w:tc>
        <w:tc>
          <w:tcPr>
            <w:tcW w:w="536" w:type="dxa"/>
            <w:tcBorders>
              <w:top w:val="nil"/>
              <w:left w:val="nil"/>
              <w:bottom w:val="single" w:sz="4" w:space="0" w:color="auto"/>
              <w:right w:val="single" w:sz="4" w:space="0" w:color="auto"/>
            </w:tcBorders>
            <w:shd w:val="clear" w:color="auto" w:fill="auto"/>
            <w:noWrap/>
            <w:vAlign w:val="bottom"/>
            <w:hideMark/>
          </w:tcPr>
          <w:p w14:paraId="0649C8EA"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23.3</w:t>
            </w:r>
          </w:p>
        </w:tc>
        <w:tc>
          <w:tcPr>
            <w:tcW w:w="536" w:type="dxa"/>
            <w:tcBorders>
              <w:top w:val="nil"/>
              <w:left w:val="nil"/>
              <w:bottom w:val="single" w:sz="4" w:space="0" w:color="auto"/>
              <w:right w:val="single" w:sz="4" w:space="0" w:color="auto"/>
            </w:tcBorders>
            <w:shd w:val="clear" w:color="auto" w:fill="auto"/>
            <w:noWrap/>
            <w:vAlign w:val="bottom"/>
            <w:hideMark/>
          </w:tcPr>
          <w:p w14:paraId="57AD6703"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23.3</w:t>
            </w:r>
          </w:p>
        </w:tc>
        <w:tc>
          <w:tcPr>
            <w:tcW w:w="559" w:type="dxa"/>
            <w:tcBorders>
              <w:top w:val="nil"/>
              <w:left w:val="nil"/>
              <w:bottom w:val="single" w:sz="4" w:space="0" w:color="auto"/>
              <w:right w:val="single" w:sz="4" w:space="0" w:color="auto"/>
            </w:tcBorders>
            <w:shd w:val="clear" w:color="auto" w:fill="auto"/>
            <w:noWrap/>
            <w:vAlign w:val="bottom"/>
            <w:hideMark/>
          </w:tcPr>
          <w:p w14:paraId="3255CC29"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31.4</w:t>
            </w:r>
          </w:p>
        </w:tc>
        <w:tc>
          <w:tcPr>
            <w:tcW w:w="843" w:type="dxa"/>
            <w:tcBorders>
              <w:top w:val="nil"/>
              <w:left w:val="nil"/>
              <w:bottom w:val="single" w:sz="4" w:space="0" w:color="auto"/>
              <w:right w:val="single" w:sz="4" w:space="0" w:color="auto"/>
            </w:tcBorders>
            <w:shd w:val="clear" w:color="auto" w:fill="auto"/>
            <w:noWrap/>
            <w:vAlign w:val="bottom"/>
            <w:hideMark/>
          </w:tcPr>
          <w:p w14:paraId="20861438"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131%</w:t>
            </w:r>
          </w:p>
        </w:tc>
        <w:tc>
          <w:tcPr>
            <w:tcW w:w="536" w:type="dxa"/>
            <w:tcBorders>
              <w:top w:val="nil"/>
              <w:left w:val="nil"/>
              <w:bottom w:val="single" w:sz="4" w:space="0" w:color="auto"/>
              <w:right w:val="single" w:sz="4" w:space="0" w:color="auto"/>
            </w:tcBorders>
            <w:shd w:val="clear" w:color="auto" w:fill="auto"/>
            <w:noWrap/>
            <w:vAlign w:val="bottom"/>
            <w:hideMark/>
          </w:tcPr>
          <w:p w14:paraId="52C25B38"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23.1</w:t>
            </w:r>
          </w:p>
        </w:tc>
        <w:tc>
          <w:tcPr>
            <w:tcW w:w="536" w:type="dxa"/>
            <w:tcBorders>
              <w:top w:val="nil"/>
              <w:left w:val="nil"/>
              <w:bottom w:val="single" w:sz="4" w:space="0" w:color="auto"/>
              <w:right w:val="single" w:sz="4" w:space="0" w:color="auto"/>
            </w:tcBorders>
            <w:shd w:val="clear" w:color="auto" w:fill="auto"/>
            <w:noWrap/>
            <w:vAlign w:val="bottom"/>
            <w:hideMark/>
          </w:tcPr>
          <w:p w14:paraId="05325A00"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23.1</w:t>
            </w:r>
          </w:p>
        </w:tc>
      </w:tr>
      <w:tr w:rsidR="004B04F3" w:rsidRPr="004B04F3" w14:paraId="43587944" w14:textId="77777777" w:rsidTr="004B04F3">
        <w:trPr>
          <w:trHeight w:val="60"/>
          <w:jc w:val="center"/>
        </w:trPr>
        <w:tc>
          <w:tcPr>
            <w:tcW w:w="1180" w:type="dxa"/>
            <w:vMerge w:val="restart"/>
            <w:tcBorders>
              <w:top w:val="nil"/>
              <w:left w:val="single" w:sz="4" w:space="0" w:color="auto"/>
              <w:bottom w:val="single" w:sz="4" w:space="0" w:color="000000"/>
              <w:right w:val="single" w:sz="4" w:space="0" w:color="auto"/>
            </w:tcBorders>
            <w:shd w:val="clear" w:color="auto" w:fill="auto"/>
            <w:hideMark/>
          </w:tcPr>
          <w:p w14:paraId="37689515" w14:textId="69620A5F"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xml:space="preserve">1SCS </w:t>
            </w:r>
            <w:r w:rsidRPr="004B04F3">
              <w:rPr>
                <w:rFonts w:asciiTheme="minorHAnsi" w:hAnsiTheme="minorHAnsi" w:cstheme="minorHAnsi"/>
                <w:color w:val="000000"/>
                <w:sz w:val="18"/>
                <w:szCs w:val="18"/>
                <w:lang w:val="en-US" w:eastAsia="en-US"/>
              </w:rPr>
              <w:br/>
            </w:r>
            <w:r w:rsidR="00EC085B">
              <w:rPr>
                <w:rFonts w:asciiTheme="minorHAnsi" w:hAnsiTheme="minorHAnsi" w:cstheme="minorHAnsi"/>
                <w:color w:val="000000"/>
                <w:sz w:val="18"/>
                <w:szCs w:val="18"/>
                <w:lang w:val="en-US" w:eastAsia="en-US"/>
              </w:rPr>
              <w:t>middle</w:t>
            </w:r>
            <w:r w:rsidRPr="004B04F3">
              <w:rPr>
                <w:rFonts w:asciiTheme="minorHAnsi" w:hAnsiTheme="minorHAnsi" w:cstheme="minorHAnsi"/>
                <w:color w:val="000000"/>
                <w:sz w:val="18"/>
                <w:szCs w:val="18"/>
                <w:lang w:val="en-US" w:eastAsia="en-US"/>
              </w:rPr>
              <w:t xml:space="preserve"> </w:t>
            </w:r>
            <w:r w:rsidRPr="004B04F3">
              <w:rPr>
                <w:rFonts w:asciiTheme="minorHAnsi" w:hAnsiTheme="minorHAnsi" w:cstheme="minorHAnsi"/>
                <w:color w:val="000000"/>
                <w:sz w:val="18"/>
                <w:szCs w:val="18"/>
                <w:lang w:val="en-US" w:eastAsia="en-US"/>
              </w:rPr>
              <w:br/>
              <w:t>QPSK</w:t>
            </w:r>
          </w:p>
        </w:tc>
        <w:tc>
          <w:tcPr>
            <w:tcW w:w="559" w:type="dxa"/>
            <w:tcBorders>
              <w:top w:val="nil"/>
              <w:left w:val="nil"/>
              <w:bottom w:val="single" w:sz="4" w:space="0" w:color="auto"/>
              <w:right w:val="single" w:sz="4" w:space="0" w:color="auto"/>
            </w:tcBorders>
            <w:shd w:val="clear" w:color="auto" w:fill="auto"/>
            <w:noWrap/>
            <w:vAlign w:val="bottom"/>
            <w:hideMark/>
          </w:tcPr>
          <w:p w14:paraId="422C0831"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80" w:type="dxa"/>
            <w:tcBorders>
              <w:top w:val="nil"/>
              <w:left w:val="nil"/>
              <w:bottom w:val="single" w:sz="4" w:space="0" w:color="auto"/>
              <w:right w:val="single" w:sz="4" w:space="0" w:color="auto"/>
            </w:tcBorders>
            <w:shd w:val="clear" w:color="auto" w:fill="auto"/>
            <w:noWrap/>
            <w:vAlign w:val="bottom"/>
            <w:hideMark/>
          </w:tcPr>
          <w:p w14:paraId="2E43172B"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5EDC9E8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27.7</w:t>
            </w:r>
          </w:p>
        </w:tc>
        <w:tc>
          <w:tcPr>
            <w:tcW w:w="536" w:type="dxa"/>
            <w:tcBorders>
              <w:top w:val="nil"/>
              <w:left w:val="nil"/>
              <w:bottom w:val="single" w:sz="4" w:space="0" w:color="auto"/>
              <w:right w:val="single" w:sz="4" w:space="0" w:color="auto"/>
            </w:tcBorders>
            <w:shd w:val="clear" w:color="auto" w:fill="auto"/>
            <w:noWrap/>
            <w:vAlign w:val="bottom"/>
            <w:hideMark/>
          </w:tcPr>
          <w:p w14:paraId="50BA1C3F"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27.7</w:t>
            </w:r>
          </w:p>
        </w:tc>
        <w:tc>
          <w:tcPr>
            <w:tcW w:w="559" w:type="dxa"/>
            <w:tcBorders>
              <w:top w:val="nil"/>
              <w:left w:val="nil"/>
              <w:bottom w:val="single" w:sz="4" w:space="0" w:color="auto"/>
              <w:right w:val="single" w:sz="4" w:space="0" w:color="auto"/>
            </w:tcBorders>
            <w:shd w:val="clear" w:color="auto" w:fill="auto"/>
            <w:noWrap/>
            <w:vAlign w:val="bottom"/>
            <w:hideMark/>
          </w:tcPr>
          <w:p w14:paraId="0EDA851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43" w:type="dxa"/>
            <w:tcBorders>
              <w:top w:val="nil"/>
              <w:left w:val="nil"/>
              <w:bottom w:val="single" w:sz="4" w:space="0" w:color="auto"/>
              <w:right w:val="single" w:sz="4" w:space="0" w:color="auto"/>
            </w:tcBorders>
            <w:shd w:val="clear" w:color="auto" w:fill="auto"/>
            <w:noWrap/>
            <w:vAlign w:val="bottom"/>
            <w:hideMark/>
          </w:tcPr>
          <w:p w14:paraId="70317669"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349881EC"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26.6</w:t>
            </w:r>
          </w:p>
        </w:tc>
        <w:tc>
          <w:tcPr>
            <w:tcW w:w="536" w:type="dxa"/>
            <w:tcBorders>
              <w:top w:val="nil"/>
              <w:left w:val="nil"/>
              <w:bottom w:val="single" w:sz="4" w:space="0" w:color="auto"/>
              <w:right w:val="single" w:sz="4" w:space="0" w:color="auto"/>
            </w:tcBorders>
            <w:shd w:val="clear" w:color="auto" w:fill="auto"/>
            <w:noWrap/>
            <w:vAlign w:val="bottom"/>
            <w:hideMark/>
          </w:tcPr>
          <w:p w14:paraId="59BD043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26.6</w:t>
            </w:r>
          </w:p>
        </w:tc>
      </w:tr>
      <w:tr w:rsidR="004B04F3" w:rsidRPr="004B04F3" w14:paraId="5DC27195"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34310F21"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591E2E4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80" w:type="dxa"/>
            <w:tcBorders>
              <w:top w:val="nil"/>
              <w:left w:val="nil"/>
              <w:bottom w:val="single" w:sz="4" w:space="0" w:color="auto"/>
              <w:right w:val="single" w:sz="4" w:space="0" w:color="auto"/>
            </w:tcBorders>
            <w:shd w:val="clear" w:color="auto" w:fill="auto"/>
            <w:noWrap/>
            <w:vAlign w:val="bottom"/>
            <w:hideMark/>
          </w:tcPr>
          <w:p w14:paraId="75E1D94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115%</w:t>
            </w:r>
          </w:p>
        </w:tc>
        <w:tc>
          <w:tcPr>
            <w:tcW w:w="536" w:type="dxa"/>
            <w:tcBorders>
              <w:top w:val="nil"/>
              <w:left w:val="nil"/>
              <w:bottom w:val="single" w:sz="4" w:space="0" w:color="auto"/>
              <w:right w:val="single" w:sz="4" w:space="0" w:color="auto"/>
            </w:tcBorders>
            <w:shd w:val="clear" w:color="auto" w:fill="auto"/>
            <w:noWrap/>
            <w:vAlign w:val="bottom"/>
            <w:hideMark/>
          </w:tcPr>
          <w:p w14:paraId="7458FB7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27.2</w:t>
            </w:r>
          </w:p>
        </w:tc>
        <w:tc>
          <w:tcPr>
            <w:tcW w:w="536" w:type="dxa"/>
            <w:tcBorders>
              <w:top w:val="nil"/>
              <w:left w:val="nil"/>
              <w:bottom w:val="single" w:sz="4" w:space="0" w:color="auto"/>
              <w:right w:val="single" w:sz="4" w:space="0" w:color="auto"/>
            </w:tcBorders>
            <w:shd w:val="clear" w:color="auto" w:fill="auto"/>
            <w:noWrap/>
            <w:vAlign w:val="bottom"/>
            <w:hideMark/>
          </w:tcPr>
          <w:p w14:paraId="14B4D8EF"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27.2</w:t>
            </w:r>
          </w:p>
        </w:tc>
        <w:tc>
          <w:tcPr>
            <w:tcW w:w="559" w:type="dxa"/>
            <w:tcBorders>
              <w:top w:val="nil"/>
              <w:left w:val="nil"/>
              <w:bottom w:val="single" w:sz="4" w:space="0" w:color="auto"/>
              <w:right w:val="single" w:sz="4" w:space="0" w:color="auto"/>
            </w:tcBorders>
            <w:shd w:val="clear" w:color="auto" w:fill="auto"/>
            <w:noWrap/>
            <w:vAlign w:val="bottom"/>
            <w:hideMark/>
          </w:tcPr>
          <w:p w14:paraId="78F2F94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43" w:type="dxa"/>
            <w:tcBorders>
              <w:top w:val="nil"/>
              <w:left w:val="nil"/>
              <w:bottom w:val="single" w:sz="4" w:space="0" w:color="auto"/>
              <w:right w:val="single" w:sz="4" w:space="0" w:color="auto"/>
            </w:tcBorders>
            <w:shd w:val="clear" w:color="auto" w:fill="auto"/>
            <w:noWrap/>
            <w:vAlign w:val="bottom"/>
            <w:hideMark/>
          </w:tcPr>
          <w:p w14:paraId="1C52ECD2"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119%</w:t>
            </w:r>
          </w:p>
        </w:tc>
        <w:tc>
          <w:tcPr>
            <w:tcW w:w="536" w:type="dxa"/>
            <w:tcBorders>
              <w:top w:val="nil"/>
              <w:left w:val="nil"/>
              <w:bottom w:val="single" w:sz="4" w:space="0" w:color="auto"/>
              <w:right w:val="single" w:sz="4" w:space="0" w:color="auto"/>
            </w:tcBorders>
            <w:shd w:val="clear" w:color="auto" w:fill="auto"/>
            <w:noWrap/>
            <w:vAlign w:val="bottom"/>
            <w:hideMark/>
          </w:tcPr>
          <w:p w14:paraId="3453F2DB"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26.7</w:t>
            </w:r>
          </w:p>
        </w:tc>
        <w:tc>
          <w:tcPr>
            <w:tcW w:w="536" w:type="dxa"/>
            <w:tcBorders>
              <w:top w:val="nil"/>
              <w:left w:val="nil"/>
              <w:bottom w:val="single" w:sz="4" w:space="0" w:color="auto"/>
              <w:right w:val="single" w:sz="4" w:space="0" w:color="auto"/>
            </w:tcBorders>
            <w:shd w:val="clear" w:color="auto" w:fill="auto"/>
            <w:noWrap/>
            <w:vAlign w:val="bottom"/>
            <w:hideMark/>
          </w:tcPr>
          <w:p w14:paraId="139888B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26.7</w:t>
            </w:r>
          </w:p>
        </w:tc>
      </w:tr>
      <w:tr w:rsidR="004B04F3" w:rsidRPr="004B04F3" w14:paraId="54EFAE79"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078C4071"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2A90E45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31.6</w:t>
            </w:r>
          </w:p>
        </w:tc>
        <w:tc>
          <w:tcPr>
            <w:tcW w:w="880" w:type="dxa"/>
            <w:tcBorders>
              <w:top w:val="nil"/>
              <w:left w:val="nil"/>
              <w:bottom w:val="single" w:sz="4" w:space="0" w:color="auto"/>
              <w:right w:val="single" w:sz="4" w:space="0" w:color="auto"/>
            </w:tcBorders>
            <w:shd w:val="clear" w:color="auto" w:fill="auto"/>
            <w:noWrap/>
            <w:vAlign w:val="bottom"/>
            <w:hideMark/>
          </w:tcPr>
          <w:p w14:paraId="1394239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135%</w:t>
            </w:r>
          </w:p>
        </w:tc>
        <w:tc>
          <w:tcPr>
            <w:tcW w:w="536" w:type="dxa"/>
            <w:tcBorders>
              <w:top w:val="nil"/>
              <w:left w:val="nil"/>
              <w:bottom w:val="single" w:sz="4" w:space="0" w:color="auto"/>
              <w:right w:val="single" w:sz="4" w:space="0" w:color="auto"/>
            </w:tcBorders>
            <w:shd w:val="clear" w:color="auto" w:fill="auto"/>
            <w:noWrap/>
            <w:vAlign w:val="bottom"/>
            <w:hideMark/>
          </w:tcPr>
          <w:p w14:paraId="3527013F"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20.9</w:t>
            </w:r>
          </w:p>
        </w:tc>
        <w:tc>
          <w:tcPr>
            <w:tcW w:w="536" w:type="dxa"/>
            <w:tcBorders>
              <w:top w:val="nil"/>
              <w:left w:val="nil"/>
              <w:bottom w:val="single" w:sz="4" w:space="0" w:color="auto"/>
              <w:right w:val="single" w:sz="4" w:space="0" w:color="auto"/>
            </w:tcBorders>
            <w:shd w:val="clear" w:color="auto" w:fill="auto"/>
            <w:noWrap/>
            <w:vAlign w:val="bottom"/>
            <w:hideMark/>
          </w:tcPr>
          <w:p w14:paraId="3467A51B"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20.9</w:t>
            </w:r>
          </w:p>
        </w:tc>
        <w:tc>
          <w:tcPr>
            <w:tcW w:w="559" w:type="dxa"/>
            <w:tcBorders>
              <w:top w:val="nil"/>
              <w:left w:val="nil"/>
              <w:bottom w:val="single" w:sz="4" w:space="0" w:color="auto"/>
              <w:right w:val="single" w:sz="4" w:space="0" w:color="auto"/>
            </w:tcBorders>
            <w:shd w:val="clear" w:color="auto" w:fill="auto"/>
            <w:noWrap/>
            <w:vAlign w:val="bottom"/>
            <w:hideMark/>
          </w:tcPr>
          <w:p w14:paraId="0735C0C6"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31.2</w:t>
            </w:r>
          </w:p>
        </w:tc>
        <w:tc>
          <w:tcPr>
            <w:tcW w:w="843" w:type="dxa"/>
            <w:tcBorders>
              <w:top w:val="nil"/>
              <w:left w:val="nil"/>
              <w:bottom w:val="single" w:sz="4" w:space="0" w:color="auto"/>
              <w:right w:val="single" w:sz="4" w:space="0" w:color="auto"/>
            </w:tcBorders>
            <w:shd w:val="clear" w:color="auto" w:fill="auto"/>
            <w:noWrap/>
            <w:vAlign w:val="bottom"/>
            <w:hideMark/>
          </w:tcPr>
          <w:p w14:paraId="343115B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131%</w:t>
            </w:r>
          </w:p>
        </w:tc>
        <w:tc>
          <w:tcPr>
            <w:tcW w:w="536" w:type="dxa"/>
            <w:tcBorders>
              <w:top w:val="nil"/>
              <w:left w:val="nil"/>
              <w:bottom w:val="single" w:sz="4" w:space="0" w:color="auto"/>
              <w:right w:val="single" w:sz="4" w:space="0" w:color="auto"/>
            </w:tcBorders>
            <w:shd w:val="clear" w:color="auto" w:fill="auto"/>
            <w:noWrap/>
            <w:vAlign w:val="bottom"/>
            <w:hideMark/>
          </w:tcPr>
          <w:p w14:paraId="5A1BDB23"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21.1</w:t>
            </w:r>
          </w:p>
        </w:tc>
        <w:tc>
          <w:tcPr>
            <w:tcW w:w="536" w:type="dxa"/>
            <w:tcBorders>
              <w:top w:val="nil"/>
              <w:left w:val="nil"/>
              <w:bottom w:val="single" w:sz="4" w:space="0" w:color="auto"/>
              <w:right w:val="single" w:sz="4" w:space="0" w:color="auto"/>
            </w:tcBorders>
            <w:shd w:val="clear" w:color="auto" w:fill="auto"/>
            <w:noWrap/>
            <w:vAlign w:val="bottom"/>
            <w:hideMark/>
          </w:tcPr>
          <w:p w14:paraId="79B2A1A2"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21.1</w:t>
            </w:r>
          </w:p>
        </w:tc>
      </w:tr>
      <w:tr w:rsidR="004B04F3" w:rsidRPr="004B04F3" w14:paraId="451449B1" w14:textId="77777777" w:rsidTr="004B04F3">
        <w:trPr>
          <w:trHeight w:val="60"/>
          <w:jc w:val="center"/>
        </w:trPr>
        <w:tc>
          <w:tcPr>
            <w:tcW w:w="1180" w:type="dxa"/>
            <w:vMerge w:val="restart"/>
            <w:tcBorders>
              <w:top w:val="nil"/>
              <w:left w:val="single" w:sz="4" w:space="0" w:color="auto"/>
              <w:bottom w:val="single" w:sz="4" w:space="0" w:color="000000"/>
              <w:right w:val="single" w:sz="4" w:space="0" w:color="auto"/>
            </w:tcBorders>
            <w:shd w:val="clear" w:color="auto" w:fill="auto"/>
            <w:hideMark/>
          </w:tcPr>
          <w:p w14:paraId="0A054415" w14:textId="2576037B"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xml:space="preserve">1SCS </w:t>
            </w:r>
            <w:r w:rsidRPr="004B04F3">
              <w:rPr>
                <w:rFonts w:asciiTheme="minorHAnsi" w:hAnsiTheme="minorHAnsi" w:cstheme="minorHAnsi"/>
                <w:color w:val="000000"/>
                <w:sz w:val="18"/>
                <w:szCs w:val="18"/>
                <w:lang w:val="en-US" w:eastAsia="en-US"/>
              </w:rPr>
              <w:br/>
            </w:r>
            <w:r w:rsidR="00EC085B">
              <w:rPr>
                <w:rFonts w:asciiTheme="minorHAnsi" w:hAnsiTheme="minorHAnsi" w:cstheme="minorHAnsi"/>
                <w:color w:val="000000"/>
                <w:sz w:val="18"/>
                <w:szCs w:val="18"/>
                <w:lang w:val="en-US" w:eastAsia="en-US"/>
              </w:rPr>
              <w:t>edge</w:t>
            </w:r>
            <w:r w:rsidRPr="004B04F3">
              <w:rPr>
                <w:rFonts w:asciiTheme="minorHAnsi" w:hAnsiTheme="minorHAnsi" w:cstheme="minorHAnsi"/>
                <w:color w:val="000000"/>
                <w:sz w:val="18"/>
                <w:szCs w:val="18"/>
                <w:lang w:val="en-US" w:eastAsia="en-US"/>
              </w:rPr>
              <w:t xml:space="preserve"> </w:t>
            </w:r>
            <w:r w:rsidRPr="004B04F3">
              <w:rPr>
                <w:rFonts w:asciiTheme="minorHAnsi" w:hAnsiTheme="minorHAnsi" w:cstheme="minorHAnsi"/>
                <w:color w:val="000000"/>
                <w:sz w:val="18"/>
                <w:szCs w:val="18"/>
                <w:lang w:val="en-US" w:eastAsia="en-US"/>
              </w:rPr>
              <w:br/>
              <w:t>QPSK</w:t>
            </w:r>
          </w:p>
        </w:tc>
        <w:tc>
          <w:tcPr>
            <w:tcW w:w="559" w:type="dxa"/>
            <w:tcBorders>
              <w:top w:val="nil"/>
              <w:left w:val="nil"/>
              <w:bottom w:val="single" w:sz="4" w:space="0" w:color="auto"/>
              <w:right w:val="single" w:sz="4" w:space="0" w:color="auto"/>
            </w:tcBorders>
            <w:shd w:val="clear" w:color="auto" w:fill="auto"/>
            <w:noWrap/>
            <w:vAlign w:val="bottom"/>
            <w:hideMark/>
          </w:tcPr>
          <w:p w14:paraId="0711913B"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80" w:type="dxa"/>
            <w:tcBorders>
              <w:top w:val="nil"/>
              <w:left w:val="nil"/>
              <w:bottom w:val="single" w:sz="4" w:space="0" w:color="auto"/>
              <w:right w:val="single" w:sz="4" w:space="0" w:color="auto"/>
            </w:tcBorders>
            <w:shd w:val="clear" w:color="auto" w:fill="auto"/>
            <w:noWrap/>
            <w:vAlign w:val="bottom"/>
            <w:hideMark/>
          </w:tcPr>
          <w:p w14:paraId="47FD2F5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570F060F"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25.6</w:t>
            </w:r>
          </w:p>
        </w:tc>
        <w:tc>
          <w:tcPr>
            <w:tcW w:w="536" w:type="dxa"/>
            <w:tcBorders>
              <w:top w:val="nil"/>
              <w:left w:val="nil"/>
              <w:bottom w:val="single" w:sz="4" w:space="0" w:color="auto"/>
              <w:right w:val="single" w:sz="4" w:space="0" w:color="auto"/>
            </w:tcBorders>
            <w:shd w:val="clear" w:color="auto" w:fill="auto"/>
            <w:noWrap/>
            <w:vAlign w:val="bottom"/>
            <w:hideMark/>
          </w:tcPr>
          <w:p w14:paraId="76685047"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25.6</w:t>
            </w:r>
          </w:p>
        </w:tc>
        <w:tc>
          <w:tcPr>
            <w:tcW w:w="559" w:type="dxa"/>
            <w:tcBorders>
              <w:top w:val="nil"/>
              <w:left w:val="nil"/>
              <w:bottom w:val="single" w:sz="4" w:space="0" w:color="auto"/>
              <w:right w:val="single" w:sz="4" w:space="0" w:color="auto"/>
            </w:tcBorders>
            <w:shd w:val="clear" w:color="auto" w:fill="auto"/>
            <w:noWrap/>
            <w:vAlign w:val="bottom"/>
            <w:hideMark/>
          </w:tcPr>
          <w:p w14:paraId="1ADCA40A"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43" w:type="dxa"/>
            <w:tcBorders>
              <w:top w:val="nil"/>
              <w:left w:val="nil"/>
              <w:bottom w:val="single" w:sz="4" w:space="0" w:color="auto"/>
              <w:right w:val="single" w:sz="4" w:space="0" w:color="auto"/>
            </w:tcBorders>
            <w:shd w:val="clear" w:color="auto" w:fill="auto"/>
            <w:noWrap/>
            <w:vAlign w:val="bottom"/>
            <w:hideMark/>
          </w:tcPr>
          <w:p w14:paraId="1D8DCB02"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63B1C81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25.0</w:t>
            </w:r>
          </w:p>
        </w:tc>
        <w:tc>
          <w:tcPr>
            <w:tcW w:w="536" w:type="dxa"/>
            <w:tcBorders>
              <w:top w:val="nil"/>
              <w:left w:val="nil"/>
              <w:bottom w:val="single" w:sz="4" w:space="0" w:color="auto"/>
              <w:right w:val="single" w:sz="4" w:space="0" w:color="auto"/>
            </w:tcBorders>
            <w:shd w:val="clear" w:color="auto" w:fill="auto"/>
            <w:noWrap/>
            <w:vAlign w:val="bottom"/>
            <w:hideMark/>
          </w:tcPr>
          <w:p w14:paraId="3657102C"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25.0</w:t>
            </w:r>
          </w:p>
        </w:tc>
      </w:tr>
      <w:tr w:rsidR="004B04F3" w:rsidRPr="004B04F3" w14:paraId="58BC1B76"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365BDFBF"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7DA3710F"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80" w:type="dxa"/>
            <w:tcBorders>
              <w:top w:val="nil"/>
              <w:left w:val="nil"/>
              <w:bottom w:val="single" w:sz="4" w:space="0" w:color="auto"/>
              <w:right w:val="single" w:sz="4" w:space="0" w:color="auto"/>
            </w:tcBorders>
            <w:shd w:val="clear" w:color="auto" w:fill="auto"/>
            <w:noWrap/>
            <w:vAlign w:val="bottom"/>
            <w:hideMark/>
          </w:tcPr>
          <w:p w14:paraId="0235420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114%</w:t>
            </w:r>
          </w:p>
        </w:tc>
        <w:tc>
          <w:tcPr>
            <w:tcW w:w="536" w:type="dxa"/>
            <w:tcBorders>
              <w:top w:val="nil"/>
              <w:left w:val="nil"/>
              <w:bottom w:val="single" w:sz="4" w:space="0" w:color="auto"/>
              <w:right w:val="single" w:sz="4" w:space="0" w:color="auto"/>
            </w:tcBorders>
            <w:shd w:val="clear" w:color="auto" w:fill="auto"/>
            <w:noWrap/>
            <w:vAlign w:val="bottom"/>
            <w:hideMark/>
          </w:tcPr>
          <w:p w14:paraId="503246C7"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25.7</w:t>
            </w:r>
          </w:p>
        </w:tc>
        <w:tc>
          <w:tcPr>
            <w:tcW w:w="536" w:type="dxa"/>
            <w:tcBorders>
              <w:top w:val="nil"/>
              <w:left w:val="nil"/>
              <w:bottom w:val="single" w:sz="4" w:space="0" w:color="auto"/>
              <w:right w:val="single" w:sz="4" w:space="0" w:color="auto"/>
            </w:tcBorders>
            <w:shd w:val="clear" w:color="auto" w:fill="auto"/>
            <w:noWrap/>
            <w:vAlign w:val="bottom"/>
            <w:hideMark/>
          </w:tcPr>
          <w:p w14:paraId="33D22A65"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25.7</w:t>
            </w:r>
          </w:p>
        </w:tc>
        <w:tc>
          <w:tcPr>
            <w:tcW w:w="559" w:type="dxa"/>
            <w:tcBorders>
              <w:top w:val="nil"/>
              <w:left w:val="nil"/>
              <w:bottom w:val="single" w:sz="4" w:space="0" w:color="auto"/>
              <w:right w:val="single" w:sz="4" w:space="0" w:color="auto"/>
            </w:tcBorders>
            <w:shd w:val="clear" w:color="auto" w:fill="auto"/>
            <w:noWrap/>
            <w:vAlign w:val="bottom"/>
            <w:hideMark/>
          </w:tcPr>
          <w:p w14:paraId="20B136F7"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43" w:type="dxa"/>
            <w:tcBorders>
              <w:top w:val="nil"/>
              <w:left w:val="nil"/>
              <w:bottom w:val="single" w:sz="4" w:space="0" w:color="auto"/>
              <w:right w:val="single" w:sz="4" w:space="0" w:color="auto"/>
            </w:tcBorders>
            <w:shd w:val="clear" w:color="auto" w:fill="auto"/>
            <w:noWrap/>
            <w:vAlign w:val="bottom"/>
            <w:hideMark/>
          </w:tcPr>
          <w:p w14:paraId="49966624"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118%</w:t>
            </w:r>
          </w:p>
        </w:tc>
        <w:tc>
          <w:tcPr>
            <w:tcW w:w="536" w:type="dxa"/>
            <w:tcBorders>
              <w:top w:val="nil"/>
              <w:left w:val="nil"/>
              <w:bottom w:val="single" w:sz="4" w:space="0" w:color="auto"/>
              <w:right w:val="single" w:sz="4" w:space="0" w:color="auto"/>
            </w:tcBorders>
            <w:shd w:val="clear" w:color="auto" w:fill="auto"/>
            <w:noWrap/>
            <w:vAlign w:val="bottom"/>
            <w:hideMark/>
          </w:tcPr>
          <w:p w14:paraId="29D946B3"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25.4</w:t>
            </w:r>
          </w:p>
        </w:tc>
        <w:tc>
          <w:tcPr>
            <w:tcW w:w="536" w:type="dxa"/>
            <w:tcBorders>
              <w:top w:val="nil"/>
              <w:left w:val="nil"/>
              <w:bottom w:val="single" w:sz="4" w:space="0" w:color="auto"/>
              <w:right w:val="single" w:sz="4" w:space="0" w:color="auto"/>
            </w:tcBorders>
            <w:shd w:val="clear" w:color="auto" w:fill="auto"/>
            <w:noWrap/>
            <w:vAlign w:val="bottom"/>
            <w:hideMark/>
          </w:tcPr>
          <w:p w14:paraId="0F7A0FC8"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25.4</w:t>
            </w:r>
          </w:p>
        </w:tc>
      </w:tr>
      <w:tr w:rsidR="004B04F3" w:rsidRPr="004B04F3" w14:paraId="1CB54C7C"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4376535C"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2D68D3EE"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31.6</w:t>
            </w:r>
          </w:p>
        </w:tc>
        <w:tc>
          <w:tcPr>
            <w:tcW w:w="880" w:type="dxa"/>
            <w:tcBorders>
              <w:top w:val="nil"/>
              <w:left w:val="nil"/>
              <w:bottom w:val="single" w:sz="4" w:space="0" w:color="auto"/>
              <w:right w:val="single" w:sz="4" w:space="0" w:color="auto"/>
            </w:tcBorders>
            <w:shd w:val="clear" w:color="auto" w:fill="auto"/>
            <w:noWrap/>
            <w:vAlign w:val="bottom"/>
            <w:hideMark/>
          </w:tcPr>
          <w:p w14:paraId="29970D55"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136%</w:t>
            </w:r>
          </w:p>
        </w:tc>
        <w:tc>
          <w:tcPr>
            <w:tcW w:w="536" w:type="dxa"/>
            <w:tcBorders>
              <w:top w:val="nil"/>
              <w:left w:val="nil"/>
              <w:bottom w:val="single" w:sz="4" w:space="0" w:color="auto"/>
              <w:right w:val="single" w:sz="4" w:space="0" w:color="auto"/>
            </w:tcBorders>
            <w:shd w:val="clear" w:color="auto" w:fill="auto"/>
            <w:noWrap/>
            <w:vAlign w:val="bottom"/>
            <w:hideMark/>
          </w:tcPr>
          <w:p w14:paraId="22E72E60"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18.4</w:t>
            </w:r>
          </w:p>
        </w:tc>
        <w:tc>
          <w:tcPr>
            <w:tcW w:w="536" w:type="dxa"/>
            <w:tcBorders>
              <w:top w:val="nil"/>
              <w:left w:val="nil"/>
              <w:bottom w:val="single" w:sz="4" w:space="0" w:color="auto"/>
              <w:right w:val="single" w:sz="4" w:space="0" w:color="auto"/>
            </w:tcBorders>
            <w:shd w:val="clear" w:color="auto" w:fill="auto"/>
            <w:noWrap/>
            <w:vAlign w:val="bottom"/>
            <w:hideMark/>
          </w:tcPr>
          <w:p w14:paraId="19EAF111"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18.4</w:t>
            </w:r>
          </w:p>
        </w:tc>
        <w:tc>
          <w:tcPr>
            <w:tcW w:w="559" w:type="dxa"/>
            <w:tcBorders>
              <w:top w:val="nil"/>
              <w:left w:val="nil"/>
              <w:bottom w:val="single" w:sz="4" w:space="0" w:color="auto"/>
              <w:right w:val="single" w:sz="4" w:space="0" w:color="auto"/>
            </w:tcBorders>
            <w:shd w:val="clear" w:color="auto" w:fill="auto"/>
            <w:noWrap/>
            <w:vAlign w:val="bottom"/>
            <w:hideMark/>
          </w:tcPr>
          <w:p w14:paraId="652EEAFF"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31.4</w:t>
            </w:r>
          </w:p>
        </w:tc>
        <w:tc>
          <w:tcPr>
            <w:tcW w:w="843" w:type="dxa"/>
            <w:tcBorders>
              <w:top w:val="nil"/>
              <w:left w:val="nil"/>
              <w:bottom w:val="single" w:sz="4" w:space="0" w:color="auto"/>
              <w:right w:val="single" w:sz="4" w:space="0" w:color="auto"/>
            </w:tcBorders>
            <w:shd w:val="clear" w:color="auto" w:fill="auto"/>
            <w:noWrap/>
            <w:vAlign w:val="bottom"/>
            <w:hideMark/>
          </w:tcPr>
          <w:p w14:paraId="53FA1FF6"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131%</w:t>
            </w:r>
          </w:p>
        </w:tc>
        <w:tc>
          <w:tcPr>
            <w:tcW w:w="536" w:type="dxa"/>
            <w:tcBorders>
              <w:top w:val="nil"/>
              <w:left w:val="nil"/>
              <w:bottom w:val="single" w:sz="4" w:space="0" w:color="auto"/>
              <w:right w:val="single" w:sz="4" w:space="0" w:color="auto"/>
            </w:tcBorders>
            <w:shd w:val="clear" w:color="auto" w:fill="auto"/>
            <w:noWrap/>
            <w:vAlign w:val="bottom"/>
            <w:hideMark/>
          </w:tcPr>
          <w:p w14:paraId="3DA90CB7"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18.7</w:t>
            </w:r>
          </w:p>
        </w:tc>
        <w:tc>
          <w:tcPr>
            <w:tcW w:w="536" w:type="dxa"/>
            <w:tcBorders>
              <w:top w:val="nil"/>
              <w:left w:val="nil"/>
              <w:bottom w:val="single" w:sz="4" w:space="0" w:color="auto"/>
              <w:right w:val="single" w:sz="4" w:space="0" w:color="auto"/>
            </w:tcBorders>
            <w:shd w:val="clear" w:color="auto" w:fill="auto"/>
            <w:noWrap/>
            <w:vAlign w:val="bottom"/>
            <w:hideMark/>
          </w:tcPr>
          <w:p w14:paraId="195994FC"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18.7</w:t>
            </w:r>
          </w:p>
        </w:tc>
      </w:tr>
      <w:tr w:rsidR="004B04F3" w:rsidRPr="004B04F3" w14:paraId="4D57B625" w14:textId="77777777" w:rsidTr="004B04F3">
        <w:trPr>
          <w:trHeight w:val="60"/>
          <w:jc w:val="center"/>
        </w:trPr>
        <w:tc>
          <w:tcPr>
            <w:tcW w:w="1180" w:type="dxa"/>
            <w:vMerge w:val="restart"/>
            <w:tcBorders>
              <w:top w:val="nil"/>
              <w:left w:val="single" w:sz="4" w:space="0" w:color="auto"/>
              <w:bottom w:val="single" w:sz="4" w:space="0" w:color="000000"/>
              <w:right w:val="single" w:sz="4" w:space="0" w:color="auto"/>
            </w:tcBorders>
            <w:shd w:val="clear" w:color="auto" w:fill="auto"/>
            <w:hideMark/>
          </w:tcPr>
          <w:p w14:paraId="7243E8B7" w14:textId="77777777" w:rsidR="004B04F3" w:rsidRPr="004B04F3" w:rsidRDefault="004B04F3" w:rsidP="004B04F3">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xml:space="preserve">1RB </w:t>
            </w:r>
            <w:r w:rsidRPr="004B04F3">
              <w:rPr>
                <w:rFonts w:asciiTheme="minorHAnsi" w:hAnsiTheme="minorHAnsi" w:cstheme="minorHAnsi"/>
                <w:color w:val="000000"/>
                <w:sz w:val="18"/>
                <w:szCs w:val="18"/>
                <w:lang w:val="en-US" w:eastAsia="en-US"/>
              </w:rPr>
              <w:br/>
              <w:t>QPSK</w:t>
            </w:r>
          </w:p>
        </w:tc>
        <w:tc>
          <w:tcPr>
            <w:tcW w:w="559" w:type="dxa"/>
            <w:tcBorders>
              <w:top w:val="nil"/>
              <w:left w:val="nil"/>
              <w:bottom w:val="single" w:sz="4" w:space="0" w:color="auto"/>
              <w:right w:val="single" w:sz="4" w:space="0" w:color="auto"/>
            </w:tcBorders>
            <w:shd w:val="clear" w:color="auto" w:fill="auto"/>
            <w:noWrap/>
            <w:vAlign w:val="bottom"/>
            <w:hideMark/>
          </w:tcPr>
          <w:p w14:paraId="3243B31C"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30.0</w:t>
            </w:r>
          </w:p>
        </w:tc>
        <w:tc>
          <w:tcPr>
            <w:tcW w:w="880" w:type="dxa"/>
            <w:tcBorders>
              <w:top w:val="nil"/>
              <w:left w:val="nil"/>
              <w:bottom w:val="single" w:sz="4" w:space="0" w:color="auto"/>
              <w:right w:val="single" w:sz="4" w:space="0" w:color="auto"/>
            </w:tcBorders>
            <w:shd w:val="clear" w:color="auto" w:fill="auto"/>
            <w:noWrap/>
            <w:vAlign w:val="bottom"/>
            <w:hideMark/>
          </w:tcPr>
          <w:p w14:paraId="6A3B121C"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100%</w:t>
            </w:r>
          </w:p>
        </w:tc>
        <w:tc>
          <w:tcPr>
            <w:tcW w:w="536" w:type="dxa"/>
            <w:tcBorders>
              <w:top w:val="nil"/>
              <w:left w:val="nil"/>
              <w:bottom w:val="single" w:sz="4" w:space="0" w:color="auto"/>
              <w:right w:val="single" w:sz="4" w:space="0" w:color="auto"/>
            </w:tcBorders>
            <w:shd w:val="clear" w:color="auto" w:fill="auto"/>
            <w:noWrap/>
            <w:vAlign w:val="bottom"/>
            <w:hideMark/>
          </w:tcPr>
          <w:p w14:paraId="7732AD50"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17.4</w:t>
            </w:r>
          </w:p>
        </w:tc>
        <w:tc>
          <w:tcPr>
            <w:tcW w:w="536" w:type="dxa"/>
            <w:tcBorders>
              <w:top w:val="nil"/>
              <w:left w:val="nil"/>
              <w:bottom w:val="single" w:sz="4" w:space="0" w:color="auto"/>
              <w:right w:val="single" w:sz="4" w:space="0" w:color="auto"/>
            </w:tcBorders>
            <w:shd w:val="clear" w:color="auto" w:fill="auto"/>
            <w:noWrap/>
            <w:vAlign w:val="bottom"/>
            <w:hideMark/>
          </w:tcPr>
          <w:p w14:paraId="6E2FBA8A"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17.4</w:t>
            </w:r>
          </w:p>
        </w:tc>
        <w:tc>
          <w:tcPr>
            <w:tcW w:w="559" w:type="dxa"/>
            <w:tcBorders>
              <w:top w:val="nil"/>
              <w:left w:val="nil"/>
              <w:bottom w:val="single" w:sz="4" w:space="0" w:color="auto"/>
              <w:right w:val="single" w:sz="4" w:space="0" w:color="auto"/>
            </w:tcBorders>
            <w:shd w:val="clear" w:color="000000" w:fill="D9D9D9"/>
            <w:noWrap/>
            <w:vAlign w:val="bottom"/>
            <w:hideMark/>
          </w:tcPr>
          <w:p w14:paraId="3814304D"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843" w:type="dxa"/>
            <w:tcBorders>
              <w:top w:val="nil"/>
              <w:left w:val="nil"/>
              <w:bottom w:val="single" w:sz="4" w:space="0" w:color="auto"/>
              <w:right w:val="single" w:sz="4" w:space="0" w:color="auto"/>
            </w:tcBorders>
            <w:shd w:val="clear" w:color="000000" w:fill="D9D9D9"/>
            <w:noWrap/>
            <w:vAlign w:val="bottom"/>
            <w:hideMark/>
          </w:tcPr>
          <w:p w14:paraId="798DD0A9"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536" w:type="dxa"/>
            <w:tcBorders>
              <w:top w:val="nil"/>
              <w:left w:val="nil"/>
              <w:bottom w:val="single" w:sz="4" w:space="0" w:color="auto"/>
              <w:right w:val="single" w:sz="4" w:space="0" w:color="auto"/>
            </w:tcBorders>
            <w:shd w:val="clear" w:color="000000" w:fill="D9D9D9"/>
            <w:noWrap/>
            <w:vAlign w:val="bottom"/>
            <w:hideMark/>
          </w:tcPr>
          <w:p w14:paraId="508AE9AA"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536" w:type="dxa"/>
            <w:tcBorders>
              <w:top w:val="nil"/>
              <w:left w:val="nil"/>
              <w:bottom w:val="single" w:sz="4" w:space="0" w:color="auto"/>
              <w:right w:val="single" w:sz="4" w:space="0" w:color="auto"/>
            </w:tcBorders>
            <w:shd w:val="clear" w:color="000000" w:fill="D9D9D9"/>
            <w:noWrap/>
            <w:vAlign w:val="bottom"/>
            <w:hideMark/>
          </w:tcPr>
          <w:p w14:paraId="7C330BC6"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r>
      <w:tr w:rsidR="004B04F3" w:rsidRPr="004B04F3" w14:paraId="7FCE86FD"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38F3962A"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73D4923C"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31.0</w:t>
            </w:r>
          </w:p>
        </w:tc>
        <w:tc>
          <w:tcPr>
            <w:tcW w:w="880" w:type="dxa"/>
            <w:tcBorders>
              <w:top w:val="nil"/>
              <w:left w:val="nil"/>
              <w:bottom w:val="single" w:sz="4" w:space="0" w:color="auto"/>
              <w:right w:val="single" w:sz="4" w:space="0" w:color="auto"/>
            </w:tcBorders>
            <w:shd w:val="clear" w:color="auto" w:fill="auto"/>
            <w:noWrap/>
            <w:vAlign w:val="bottom"/>
            <w:hideMark/>
          </w:tcPr>
          <w:p w14:paraId="3CFB04DA"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117%</w:t>
            </w:r>
          </w:p>
        </w:tc>
        <w:tc>
          <w:tcPr>
            <w:tcW w:w="536" w:type="dxa"/>
            <w:tcBorders>
              <w:top w:val="nil"/>
              <w:left w:val="nil"/>
              <w:bottom w:val="single" w:sz="4" w:space="0" w:color="auto"/>
              <w:right w:val="single" w:sz="4" w:space="0" w:color="auto"/>
            </w:tcBorders>
            <w:shd w:val="clear" w:color="auto" w:fill="auto"/>
            <w:noWrap/>
            <w:vAlign w:val="bottom"/>
            <w:hideMark/>
          </w:tcPr>
          <w:p w14:paraId="04F5FF2F"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14.6</w:t>
            </w:r>
          </w:p>
        </w:tc>
        <w:tc>
          <w:tcPr>
            <w:tcW w:w="536" w:type="dxa"/>
            <w:tcBorders>
              <w:top w:val="nil"/>
              <w:left w:val="nil"/>
              <w:bottom w:val="single" w:sz="4" w:space="0" w:color="auto"/>
              <w:right w:val="single" w:sz="4" w:space="0" w:color="auto"/>
            </w:tcBorders>
            <w:shd w:val="clear" w:color="auto" w:fill="auto"/>
            <w:noWrap/>
            <w:vAlign w:val="bottom"/>
            <w:hideMark/>
          </w:tcPr>
          <w:p w14:paraId="6C4B5556"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14.6</w:t>
            </w:r>
          </w:p>
        </w:tc>
        <w:tc>
          <w:tcPr>
            <w:tcW w:w="559" w:type="dxa"/>
            <w:tcBorders>
              <w:top w:val="nil"/>
              <w:left w:val="nil"/>
              <w:bottom w:val="single" w:sz="4" w:space="0" w:color="auto"/>
              <w:right w:val="single" w:sz="4" w:space="0" w:color="auto"/>
            </w:tcBorders>
            <w:shd w:val="clear" w:color="000000" w:fill="D9D9D9"/>
            <w:noWrap/>
            <w:vAlign w:val="bottom"/>
            <w:hideMark/>
          </w:tcPr>
          <w:p w14:paraId="2115A4FA"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843" w:type="dxa"/>
            <w:tcBorders>
              <w:top w:val="nil"/>
              <w:left w:val="nil"/>
              <w:bottom w:val="single" w:sz="4" w:space="0" w:color="auto"/>
              <w:right w:val="single" w:sz="4" w:space="0" w:color="auto"/>
            </w:tcBorders>
            <w:shd w:val="clear" w:color="000000" w:fill="D9D9D9"/>
            <w:noWrap/>
            <w:vAlign w:val="bottom"/>
            <w:hideMark/>
          </w:tcPr>
          <w:p w14:paraId="5666D17A"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536" w:type="dxa"/>
            <w:tcBorders>
              <w:top w:val="nil"/>
              <w:left w:val="nil"/>
              <w:bottom w:val="single" w:sz="4" w:space="0" w:color="auto"/>
              <w:right w:val="single" w:sz="4" w:space="0" w:color="auto"/>
            </w:tcBorders>
            <w:shd w:val="clear" w:color="000000" w:fill="D9D9D9"/>
            <w:noWrap/>
            <w:vAlign w:val="bottom"/>
            <w:hideMark/>
          </w:tcPr>
          <w:p w14:paraId="417F1A2D"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536" w:type="dxa"/>
            <w:tcBorders>
              <w:top w:val="nil"/>
              <w:left w:val="nil"/>
              <w:bottom w:val="single" w:sz="4" w:space="0" w:color="auto"/>
              <w:right w:val="single" w:sz="4" w:space="0" w:color="auto"/>
            </w:tcBorders>
            <w:shd w:val="clear" w:color="000000" w:fill="D9D9D9"/>
            <w:noWrap/>
            <w:vAlign w:val="bottom"/>
            <w:hideMark/>
          </w:tcPr>
          <w:p w14:paraId="441BF68E"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r>
      <w:tr w:rsidR="004B04F3" w:rsidRPr="004B04F3" w14:paraId="6EA108F6" w14:textId="77777777" w:rsidTr="004B04F3">
        <w:trPr>
          <w:trHeight w:val="60"/>
          <w:jc w:val="center"/>
        </w:trPr>
        <w:tc>
          <w:tcPr>
            <w:tcW w:w="1180" w:type="dxa"/>
            <w:vMerge/>
            <w:tcBorders>
              <w:top w:val="nil"/>
              <w:left w:val="single" w:sz="4" w:space="0" w:color="auto"/>
              <w:bottom w:val="single" w:sz="4" w:space="0" w:color="000000"/>
              <w:right w:val="single" w:sz="4" w:space="0" w:color="auto"/>
            </w:tcBorders>
            <w:vAlign w:val="center"/>
            <w:hideMark/>
          </w:tcPr>
          <w:p w14:paraId="311D9D35"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9" w:type="dxa"/>
            <w:tcBorders>
              <w:top w:val="nil"/>
              <w:left w:val="nil"/>
              <w:bottom w:val="single" w:sz="4" w:space="0" w:color="auto"/>
              <w:right w:val="single" w:sz="4" w:space="0" w:color="auto"/>
            </w:tcBorders>
            <w:shd w:val="clear" w:color="auto" w:fill="auto"/>
            <w:noWrap/>
            <w:vAlign w:val="bottom"/>
            <w:hideMark/>
          </w:tcPr>
          <w:p w14:paraId="5824D97D"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31.6</w:t>
            </w:r>
          </w:p>
        </w:tc>
        <w:tc>
          <w:tcPr>
            <w:tcW w:w="880" w:type="dxa"/>
            <w:tcBorders>
              <w:top w:val="nil"/>
              <w:left w:val="nil"/>
              <w:bottom w:val="single" w:sz="4" w:space="0" w:color="auto"/>
              <w:right w:val="single" w:sz="4" w:space="0" w:color="auto"/>
            </w:tcBorders>
            <w:shd w:val="clear" w:color="auto" w:fill="auto"/>
            <w:noWrap/>
            <w:vAlign w:val="bottom"/>
            <w:hideMark/>
          </w:tcPr>
          <w:p w14:paraId="18B86515"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136%</w:t>
            </w:r>
          </w:p>
        </w:tc>
        <w:tc>
          <w:tcPr>
            <w:tcW w:w="536" w:type="dxa"/>
            <w:tcBorders>
              <w:top w:val="nil"/>
              <w:left w:val="nil"/>
              <w:bottom w:val="single" w:sz="4" w:space="0" w:color="auto"/>
              <w:right w:val="single" w:sz="4" w:space="0" w:color="auto"/>
            </w:tcBorders>
            <w:shd w:val="clear" w:color="auto" w:fill="auto"/>
            <w:noWrap/>
            <w:vAlign w:val="bottom"/>
            <w:hideMark/>
          </w:tcPr>
          <w:p w14:paraId="750A93D8"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7.3</w:t>
            </w:r>
          </w:p>
        </w:tc>
        <w:tc>
          <w:tcPr>
            <w:tcW w:w="536" w:type="dxa"/>
            <w:tcBorders>
              <w:top w:val="nil"/>
              <w:left w:val="nil"/>
              <w:bottom w:val="single" w:sz="4" w:space="0" w:color="auto"/>
              <w:right w:val="single" w:sz="4" w:space="0" w:color="auto"/>
            </w:tcBorders>
            <w:shd w:val="clear" w:color="auto" w:fill="auto"/>
            <w:noWrap/>
            <w:vAlign w:val="bottom"/>
            <w:hideMark/>
          </w:tcPr>
          <w:p w14:paraId="31D6AEAB" w14:textId="77777777" w:rsidR="004B04F3" w:rsidRPr="004B04F3" w:rsidRDefault="004B04F3" w:rsidP="004B04F3">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7.3</w:t>
            </w:r>
          </w:p>
        </w:tc>
        <w:tc>
          <w:tcPr>
            <w:tcW w:w="559" w:type="dxa"/>
            <w:tcBorders>
              <w:top w:val="nil"/>
              <w:left w:val="nil"/>
              <w:bottom w:val="single" w:sz="4" w:space="0" w:color="auto"/>
              <w:right w:val="single" w:sz="4" w:space="0" w:color="auto"/>
            </w:tcBorders>
            <w:shd w:val="clear" w:color="000000" w:fill="D9D9D9"/>
            <w:noWrap/>
            <w:vAlign w:val="bottom"/>
            <w:hideMark/>
          </w:tcPr>
          <w:p w14:paraId="13F7B0DD"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843" w:type="dxa"/>
            <w:tcBorders>
              <w:top w:val="nil"/>
              <w:left w:val="nil"/>
              <w:bottom w:val="single" w:sz="4" w:space="0" w:color="auto"/>
              <w:right w:val="single" w:sz="4" w:space="0" w:color="auto"/>
            </w:tcBorders>
            <w:shd w:val="clear" w:color="000000" w:fill="D9D9D9"/>
            <w:noWrap/>
            <w:vAlign w:val="bottom"/>
            <w:hideMark/>
          </w:tcPr>
          <w:p w14:paraId="2048C07D"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536" w:type="dxa"/>
            <w:tcBorders>
              <w:top w:val="nil"/>
              <w:left w:val="nil"/>
              <w:bottom w:val="single" w:sz="4" w:space="0" w:color="auto"/>
              <w:right w:val="single" w:sz="4" w:space="0" w:color="auto"/>
            </w:tcBorders>
            <w:shd w:val="clear" w:color="000000" w:fill="D9D9D9"/>
            <w:noWrap/>
            <w:vAlign w:val="bottom"/>
            <w:hideMark/>
          </w:tcPr>
          <w:p w14:paraId="220D49B6"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c>
          <w:tcPr>
            <w:tcW w:w="536" w:type="dxa"/>
            <w:tcBorders>
              <w:top w:val="nil"/>
              <w:left w:val="nil"/>
              <w:bottom w:val="single" w:sz="4" w:space="0" w:color="auto"/>
              <w:right w:val="single" w:sz="4" w:space="0" w:color="auto"/>
            </w:tcBorders>
            <w:shd w:val="clear" w:color="000000" w:fill="D9D9D9"/>
            <w:noWrap/>
            <w:vAlign w:val="bottom"/>
            <w:hideMark/>
          </w:tcPr>
          <w:p w14:paraId="72D19DD6" w14:textId="77777777" w:rsidR="004B04F3" w:rsidRPr="004B04F3" w:rsidRDefault="004B04F3" w:rsidP="004B04F3">
            <w:pPr>
              <w:overflowPunct/>
              <w:autoSpaceDE/>
              <w:autoSpaceDN/>
              <w:adjustRightInd/>
              <w:spacing w:after="0"/>
              <w:textAlignment w:val="auto"/>
              <w:rPr>
                <w:rFonts w:asciiTheme="minorHAnsi" w:hAnsiTheme="minorHAnsi" w:cstheme="minorHAnsi"/>
                <w:color w:val="000000"/>
                <w:sz w:val="18"/>
                <w:szCs w:val="18"/>
                <w:lang w:val="en-US" w:eastAsia="en-US"/>
              </w:rPr>
            </w:pPr>
            <w:r w:rsidRPr="004B04F3">
              <w:rPr>
                <w:rFonts w:asciiTheme="minorHAnsi" w:hAnsiTheme="minorHAnsi" w:cstheme="minorHAnsi"/>
                <w:color w:val="000000"/>
                <w:sz w:val="18"/>
                <w:szCs w:val="18"/>
                <w:lang w:val="en-US" w:eastAsia="en-US"/>
              </w:rPr>
              <w:t> </w:t>
            </w:r>
          </w:p>
        </w:tc>
      </w:tr>
    </w:tbl>
    <w:p w14:paraId="02CCF8FB" w14:textId="57CB5743" w:rsidR="004B04F3" w:rsidRDefault="008C5B42" w:rsidP="008C5B42">
      <w:pPr>
        <w:tabs>
          <w:tab w:val="left" w:pos="2492"/>
        </w:tabs>
        <w:spacing w:after="0"/>
        <w:rPr>
          <w:b/>
          <w:bCs/>
          <w:lang w:eastAsia="zh-CN"/>
        </w:rPr>
      </w:pPr>
      <w:r>
        <w:rPr>
          <w:b/>
          <w:bCs/>
          <w:lang w:eastAsia="zh-CN"/>
        </w:rPr>
        <w:tab/>
      </w:r>
    </w:p>
    <w:p w14:paraId="446BD2CE" w14:textId="77777777" w:rsidR="004B04F3" w:rsidRDefault="004B04F3" w:rsidP="00A0316F">
      <w:pPr>
        <w:spacing w:after="0"/>
        <w:rPr>
          <w:b/>
          <w:bCs/>
          <w:lang w:eastAsia="zh-CN"/>
        </w:rPr>
      </w:pPr>
      <w:r>
        <w:rPr>
          <w:b/>
          <w:bCs/>
          <w:lang w:eastAsia="zh-CN"/>
        </w:rPr>
        <w:t>Observations</w:t>
      </w:r>
      <w:r w:rsidR="00DE7CDC" w:rsidRPr="00DE7CDC">
        <w:rPr>
          <w:b/>
          <w:bCs/>
          <w:lang w:eastAsia="zh-CN"/>
        </w:rPr>
        <w:t xml:space="preserve">: </w:t>
      </w:r>
    </w:p>
    <w:p w14:paraId="4967801F" w14:textId="2EDF7909" w:rsidR="00DE7CDC" w:rsidRDefault="004B04F3" w:rsidP="004B04F3">
      <w:pPr>
        <w:pStyle w:val="ListParagraph"/>
        <w:numPr>
          <w:ilvl w:val="0"/>
          <w:numId w:val="41"/>
        </w:numPr>
        <w:spacing w:after="0"/>
        <w:ind w:firstLineChars="0"/>
        <w:rPr>
          <w:b/>
          <w:bCs/>
          <w:lang w:eastAsia="zh-CN"/>
        </w:rPr>
      </w:pPr>
      <w:r>
        <w:rPr>
          <w:b/>
          <w:bCs/>
          <w:lang w:eastAsia="zh-CN"/>
        </w:rPr>
        <w:t>All waveforms show significant margin to UTRA ACLR close to 32dBm, with the 1RB cases still having some margin</w:t>
      </w:r>
      <w:r w:rsidR="00DE7CDC" w:rsidRPr="004B04F3">
        <w:rPr>
          <w:b/>
          <w:bCs/>
          <w:lang w:eastAsia="zh-CN"/>
        </w:rPr>
        <w:t>.</w:t>
      </w:r>
    </w:p>
    <w:p w14:paraId="39DCCEA8" w14:textId="77777777" w:rsidR="00EC085B" w:rsidRDefault="00EC085B" w:rsidP="004B04F3">
      <w:pPr>
        <w:pStyle w:val="ListParagraph"/>
        <w:numPr>
          <w:ilvl w:val="0"/>
          <w:numId w:val="41"/>
        </w:numPr>
        <w:spacing w:after="0"/>
        <w:ind w:firstLineChars="0"/>
        <w:rPr>
          <w:b/>
          <w:bCs/>
          <w:lang w:eastAsia="zh-CN"/>
        </w:rPr>
      </w:pPr>
      <w:r>
        <w:rPr>
          <w:b/>
          <w:bCs/>
          <w:lang w:eastAsia="zh-CN"/>
        </w:rPr>
        <w:t>There is slightly higher margin for 1SCS Pi/2 BPSK versus QPSK, 1RB QPSK showing the lowest margin.</w:t>
      </w:r>
    </w:p>
    <w:p w14:paraId="53FD14F5" w14:textId="035E100F" w:rsidR="00EC085B" w:rsidRPr="00EC085B" w:rsidRDefault="00EC085B" w:rsidP="00EC085B">
      <w:pPr>
        <w:pStyle w:val="ListParagraph"/>
        <w:numPr>
          <w:ilvl w:val="0"/>
          <w:numId w:val="41"/>
        </w:numPr>
        <w:spacing w:after="0"/>
        <w:ind w:firstLineChars="0"/>
        <w:rPr>
          <w:b/>
          <w:bCs/>
          <w:lang w:eastAsia="zh-CN"/>
        </w:rPr>
      </w:pPr>
      <w:r>
        <w:rPr>
          <w:b/>
          <w:bCs/>
          <w:lang w:eastAsia="zh-CN"/>
        </w:rPr>
        <w:t>There is slightly higher margin for 1SCS in the middle versus the edge.</w:t>
      </w:r>
    </w:p>
    <w:p w14:paraId="17B4D5DE" w14:textId="77777777" w:rsidR="00EC085B" w:rsidRDefault="00EC085B" w:rsidP="00EC085B">
      <w:pPr>
        <w:pStyle w:val="ListParagraph"/>
        <w:numPr>
          <w:ilvl w:val="0"/>
          <w:numId w:val="41"/>
        </w:numPr>
        <w:spacing w:after="0"/>
        <w:ind w:firstLineChars="0"/>
        <w:rPr>
          <w:b/>
          <w:bCs/>
          <w:lang w:eastAsia="zh-CN"/>
        </w:rPr>
      </w:pPr>
      <w:r>
        <w:rPr>
          <w:b/>
          <w:bCs/>
          <w:lang w:eastAsia="zh-CN"/>
        </w:rPr>
        <w:t>The 34dB image and carrier leakage case does not show significant benefits and 28dB seem a good starting point.</w:t>
      </w:r>
    </w:p>
    <w:p w14:paraId="18C020DB" w14:textId="631B7BB6" w:rsidR="004B04F3" w:rsidRDefault="004B04F3" w:rsidP="004B04F3">
      <w:pPr>
        <w:pStyle w:val="ListParagraph"/>
        <w:numPr>
          <w:ilvl w:val="0"/>
          <w:numId w:val="41"/>
        </w:numPr>
        <w:spacing w:after="0"/>
        <w:ind w:firstLineChars="0"/>
        <w:rPr>
          <w:b/>
          <w:bCs/>
          <w:lang w:eastAsia="zh-CN"/>
        </w:rPr>
      </w:pPr>
      <w:r>
        <w:rPr>
          <w:b/>
          <w:bCs/>
          <w:lang w:eastAsia="zh-CN"/>
        </w:rPr>
        <w:t xml:space="preserve">The power was limited due to external current limitation on the </w:t>
      </w:r>
      <w:proofErr w:type="gramStart"/>
      <w:r>
        <w:rPr>
          <w:b/>
          <w:bCs/>
          <w:lang w:eastAsia="zh-CN"/>
        </w:rPr>
        <w:t>PA</w:t>
      </w:r>
      <w:proofErr w:type="gramEnd"/>
      <w:r>
        <w:rPr>
          <w:b/>
          <w:bCs/>
          <w:lang w:eastAsia="zh-CN"/>
        </w:rPr>
        <w:t xml:space="preserve"> and it should be feasible to reach higher power</w:t>
      </w:r>
      <w:r w:rsidR="00EC085B">
        <w:rPr>
          <w:b/>
          <w:bCs/>
          <w:lang w:eastAsia="zh-CN"/>
        </w:rPr>
        <w:t xml:space="preserve"> on</w:t>
      </w:r>
      <w:r w:rsidR="00A30825">
        <w:rPr>
          <w:b/>
          <w:bCs/>
          <w:lang w:eastAsia="zh-CN"/>
        </w:rPr>
        <w:t>c</w:t>
      </w:r>
      <w:r w:rsidR="00EC085B">
        <w:rPr>
          <w:b/>
          <w:bCs/>
          <w:lang w:eastAsia="zh-CN"/>
        </w:rPr>
        <w:t>e those limitations are controlled.</w:t>
      </w:r>
    </w:p>
    <w:p w14:paraId="4371DE8B" w14:textId="1ED2E1E8" w:rsidR="004B04F3" w:rsidRDefault="004B04F3" w:rsidP="004B04F3">
      <w:pPr>
        <w:pStyle w:val="ListParagraph"/>
        <w:numPr>
          <w:ilvl w:val="0"/>
          <w:numId w:val="41"/>
        </w:numPr>
        <w:spacing w:after="0"/>
        <w:ind w:firstLineChars="0"/>
        <w:rPr>
          <w:b/>
          <w:bCs/>
          <w:lang w:eastAsia="zh-CN"/>
        </w:rPr>
      </w:pPr>
      <w:r>
        <w:rPr>
          <w:b/>
          <w:bCs/>
          <w:lang w:eastAsia="zh-CN"/>
        </w:rPr>
        <w:t xml:space="preserve">Provided that SEM or in-band requirement do not create further limitations and assuming close to 3dB post PA losses </w:t>
      </w:r>
      <w:r w:rsidR="008C5B42">
        <w:rPr>
          <w:b/>
          <w:bCs/>
          <w:lang w:eastAsia="zh-CN"/>
        </w:rPr>
        <w:t xml:space="preserve">for HD-FDD vs NR FDD case, </w:t>
      </w:r>
      <w:r>
        <w:rPr>
          <w:b/>
          <w:bCs/>
          <w:lang w:eastAsia="zh-CN"/>
        </w:rPr>
        <w:t>PC1.5 power (29dBm) 0dB MPR might be reachable.</w:t>
      </w:r>
    </w:p>
    <w:p w14:paraId="2D34D3A5" w14:textId="77777777" w:rsidR="004B04F3" w:rsidRDefault="004B04F3" w:rsidP="004B04F3">
      <w:pPr>
        <w:spacing w:after="0"/>
        <w:rPr>
          <w:b/>
          <w:bCs/>
          <w:lang w:eastAsia="zh-CN"/>
        </w:rPr>
      </w:pPr>
    </w:p>
    <w:p w14:paraId="188CA80E" w14:textId="17BDE4EB" w:rsidR="004B04F3" w:rsidRDefault="004B04F3" w:rsidP="008C5B42">
      <w:pPr>
        <w:spacing w:after="0"/>
        <w:rPr>
          <w:b/>
          <w:bCs/>
          <w:lang w:eastAsia="zh-CN"/>
        </w:rPr>
      </w:pPr>
      <w:r>
        <w:rPr>
          <w:b/>
          <w:bCs/>
          <w:lang w:eastAsia="zh-CN"/>
        </w:rPr>
        <w:t>Proposal:</w:t>
      </w:r>
      <w:r w:rsidR="008C5B42">
        <w:rPr>
          <w:b/>
          <w:bCs/>
          <w:lang w:eastAsia="zh-CN"/>
        </w:rPr>
        <w:t xml:space="preserve"> </w:t>
      </w:r>
      <w:r w:rsidR="00895A3C">
        <w:rPr>
          <w:b/>
          <w:bCs/>
          <w:lang w:eastAsia="zh-CN"/>
        </w:rPr>
        <w:t>To</w:t>
      </w:r>
      <w:r w:rsidRPr="008C5B42">
        <w:rPr>
          <w:b/>
          <w:bCs/>
          <w:lang w:eastAsia="zh-CN"/>
        </w:rPr>
        <w:t xml:space="preserve"> start a full power boosting evaluation on</w:t>
      </w:r>
      <w:r w:rsidR="008C5B42" w:rsidRPr="008C5B42">
        <w:rPr>
          <w:b/>
          <w:bCs/>
          <w:lang w:eastAsia="zh-CN"/>
        </w:rPr>
        <w:t xml:space="preserve"> a PC2 1Tx PA to achieve PC1.5 power levels and possibly higher</w:t>
      </w:r>
      <w:r w:rsidR="008C5B42">
        <w:rPr>
          <w:b/>
          <w:bCs/>
          <w:lang w:eastAsia="zh-CN"/>
        </w:rPr>
        <w:t xml:space="preserve"> for NB-IoT-NTN</w:t>
      </w:r>
      <w:r w:rsidR="008C5B42" w:rsidRPr="008C5B42">
        <w:rPr>
          <w:b/>
          <w:bCs/>
          <w:lang w:eastAsia="zh-CN"/>
        </w:rPr>
        <w:t xml:space="preserve">, it is </w:t>
      </w:r>
      <w:r w:rsidR="008C5B42">
        <w:rPr>
          <w:b/>
          <w:bCs/>
          <w:lang w:eastAsia="zh-CN"/>
        </w:rPr>
        <w:t>important that we agree on key parameters:</w:t>
      </w:r>
    </w:p>
    <w:p w14:paraId="46D75367" w14:textId="733B0E2B" w:rsidR="004B04F3" w:rsidRPr="008C5B42" w:rsidRDefault="008C5B42" w:rsidP="00296ECC">
      <w:pPr>
        <w:pStyle w:val="ListParagraph"/>
        <w:numPr>
          <w:ilvl w:val="0"/>
          <w:numId w:val="43"/>
        </w:numPr>
        <w:spacing w:after="0"/>
        <w:ind w:firstLineChars="0"/>
        <w:rPr>
          <w:b/>
          <w:bCs/>
          <w:lang w:eastAsia="zh-CN"/>
        </w:rPr>
      </w:pPr>
      <w:r w:rsidRPr="008C5B42">
        <w:rPr>
          <w:b/>
          <w:bCs/>
          <w:lang w:eastAsia="zh-CN"/>
        </w:rPr>
        <w:t xml:space="preserve">PA calibration level: for PC2 1Tx NR PA with propose 29dBm 1dB MPR for </w:t>
      </w:r>
      <w:r>
        <w:rPr>
          <w:b/>
          <w:bCs/>
          <w:lang w:eastAsia="zh-CN"/>
        </w:rPr>
        <w:t xml:space="preserve">31dB NR ACLR with a </w:t>
      </w:r>
      <w:r w:rsidRPr="008C5B42">
        <w:rPr>
          <w:rFonts w:eastAsiaTheme="minorEastAsia"/>
          <w:b/>
          <w:bCs/>
          <w:lang w:eastAsia="ko-KR"/>
        </w:rPr>
        <w:t>20MHz QPSK DFT-s-OFDM 100RB0 waveform</w:t>
      </w:r>
      <w:r>
        <w:rPr>
          <w:rFonts w:eastAsiaTheme="minorEastAsia"/>
          <w:b/>
          <w:bCs/>
          <w:lang w:eastAsia="ko-KR"/>
        </w:rPr>
        <w:t>. Which correspond to 4dB post PA loss in a FD-FDD environment.</w:t>
      </w:r>
    </w:p>
    <w:p w14:paraId="45D653BB" w14:textId="3B9B83B4" w:rsidR="008C5B42" w:rsidRDefault="008C5B42" w:rsidP="00296ECC">
      <w:pPr>
        <w:pStyle w:val="ListParagraph"/>
        <w:numPr>
          <w:ilvl w:val="0"/>
          <w:numId w:val="43"/>
        </w:numPr>
        <w:spacing w:after="0"/>
        <w:ind w:firstLineChars="0"/>
        <w:rPr>
          <w:b/>
          <w:bCs/>
          <w:lang w:eastAsia="zh-CN"/>
        </w:rPr>
      </w:pPr>
      <w:r>
        <w:rPr>
          <w:b/>
          <w:bCs/>
          <w:lang w:eastAsia="zh-CN"/>
        </w:rPr>
        <w:t>Image and carrier leakage: we propose to use the NR agreed level at 28dB.</w:t>
      </w:r>
    </w:p>
    <w:p w14:paraId="01A394A9" w14:textId="265AC5AC" w:rsidR="004B04F3" w:rsidRPr="00EC085B" w:rsidRDefault="008C5B42" w:rsidP="004B04F3">
      <w:pPr>
        <w:pStyle w:val="ListParagraph"/>
        <w:numPr>
          <w:ilvl w:val="0"/>
          <w:numId w:val="43"/>
        </w:numPr>
        <w:spacing w:after="0"/>
        <w:ind w:firstLineChars="0"/>
        <w:rPr>
          <w:b/>
          <w:bCs/>
          <w:lang w:eastAsia="zh-CN"/>
        </w:rPr>
      </w:pPr>
      <w:r>
        <w:rPr>
          <w:b/>
          <w:bCs/>
          <w:lang w:eastAsia="zh-CN"/>
        </w:rPr>
        <w:t>HD-FDD post PA losses: we propose to evaluate 2.5dB and 3dB</w:t>
      </w:r>
      <w:r w:rsidR="00EC085B">
        <w:rPr>
          <w:b/>
          <w:bCs/>
          <w:lang w:eastAsia="zh-CN"/>
        </w:rPr>
        <w:t>.</w:t>
      </w:r>
    </w:p>
    <w:p w14:paraId="3A1423CF" w14:textId="68033F85" w:rsidR="006C0252" w:rsidRPr="00343AA7" w:rsidRDefault="006C0252" w:rsidP="00A0316F">
      <w:pPr>
        <w:pStyle w:val="Heading1"/>
        <w:numPr>
          <w:ilvl w:val="0"/>
          <w:numId w:val="1"/>
        </w:numPr>
        <w:ind w:left="567" w:hanging="567"/>
      </w:pPr>
      <w:r>
        <w:t>Conclusion</w:t>
      </w:r>
    </w:p>
    <w:p w14:paraId="30DE081B" w14:textId="677C4B1F" w:rsidR="00DE0333" w:rsidRDefault="006C0252" w:rsidP="00DE0333">
      <w:pPr>
        <w:rPr>
          <w:rFonts w:eastAsia="Arial"/>
          <w:lang w:eastAsia="zh-CN"/>
        </w:rPr>
      </w:pPr>
      <w:r w:rsidRPr="0018029D">
        <w:t>In</w:t>
      </w:r>
      <w:r w:rsidR="00A42874" w:rsidRPr="0018029D">
        <w:t xml:space="preserve"> this contribution, </w:t>
      </w:r>
      <w:r w:rsidR="000F5302">
        <w:t xml:space="preserve">we </w:t>
      </w:r>
      <w:r w:rsidR="00EC085B">
        <w:t>share a preliminary set of NB-IoT-NTN HPUE results and make the following proposals to start a complete power boosting evaluation campaign based on a PC2 1Tx NR PA</w:t>
      </w:r>
      <w:r w:rsidR="006D5A1D">
        <w:rPr>
          <w:rFonts w:eastAsia="Arial"/>
          <w:lang w:eastAsia="zh-CN"/>
        </w:rPr>
        <w:t>.</w:t>
      </w:r>
    </w:p>
    <w:p w14:paraId="24F88342" w14:textId="26C0FF8A" w:rsidR="008C5B42" w:rsidRDefault="008C5B42" w:rsidP="008C5B42">
      <w:pPr>
        <w:spacing w:after="0"/>
        <w:rPr>
          <w:b/>
          <w:bCs/>
          <w:lang w:eastAsia="zh-CN"/>
        </w:rPr>
      </w:pPr>
      <w:r>
        <w:rPr>
          <w:b/>
          <w:bCs/>
          <w:lang w:eastAsia="zh-CN"/>
        </w:rPr>
        <w:t xml:space="preserve">Proposal: </w:t>
      </w:r>
      <w:r w:rsidR="00895A3C">
        <w:rPr>
          <w:b/>
          <w:bCs/>
          <w:lang w:eastAsia="zh-CN"/>
        </w:rPr>
        <w:t>To</w:t>
      </w:r>
      <w:r w:rsidRPr="008C5B42">
        <w:rPr>
          <w:b/>
          <w:bCs/>
          <w:lang w:eastAsia="zh-CN"/>
        </w:rPr>
        <w:t xml:space="preserve"> start a full power boosting evaluation on a PC2 1Tx PA to achieve PC1.5 power levels and possibly higher</w:t>
      </w:r>
      <w:r>
        <w:rPr>
          <w:b/>
          <w:bCs/>
          <w:lang w:eastAsia="zh-CN"/>
        </w:rPr>
        <w:t xml:space="preserve"> for NB-IoT-NTN</w:t>
      </w:r>
      <w:r w:rsidRPr="008C5B42">
        <w:rPr>
          <w:b/>
          <w:bCs/>
          <w:lang w:eastAsia="zh-CN"/>
        </w:rPr>
        <w:t xml:space="preserve">, it is </w:t>
      </w:r>
      <w:r>
        <w:rPr>
          <w:b/>
          <w:bCs/>
          <w:lang w:eastAsia="zh-CN"/>
        </w:rPr>
        <w:t>important that we agree on key parameters:</w:t>
      </w:r>
    </w:p>
    <w:p w14:paraId="6CD04441" w14:textId="77777777" w:rsidR="008C5B42" w:rsidRPr="008C5B42" w:rsidRDefault="008C5B42" w:rsidP="008C5B42">
      <w:pPr>
        <w:pStyle w:val="ListParagraph"/>
        <w:numPr>
          <w:ilvl w:val="0"/>
          <w:numId w:val="43"/>
        </w:numPr>
        <w:spacing w:after="0"/>
        <w:ind w:firstLineChars="0"/>
        <w:rPr>
          <w:b/>
          <w:bCs/>
          <w:lang w:eastAsia="zh-CN"/>
        </w:rPr>
      </w:pPr>
      <w:r w:rsidRPr="008C5B42">
        <w:rPr>
          <w:b/>
          <w:bCs/>
          <w:lang w:eastAsia="zh-CN"/>
        </w:rPr>
        <w:t xml:space="preserve">PA calibration level: for PC2 1Tx NR PA with propose 29dBm 1dB MPR for </w:t>
      </w:r>
      <w:r>
        <w:rPr>
          <w:b/>
          <w:bCs/>
          <w:lang w:eastAsia="zh-CN"/>
        </w:rPr>
        <w:t xml:space="preserve">31dB NR ACLR with a </w:t>
      </w:r>
      <w:r w:rsidRPr="008C5B42">
        <w:rPr>
          <w:rFonts w:eastAsiaTheme="minorEastAsia"/>
          <w:b/>
          <w:bCs/>
          <w:lang w:eastAsia="ko-KR"/>
        </w:rPr>
        <w:t>20MHz QPSK DFT-s-OFDM 100RB0 waveform</w:t>
      </w:r>
      <w:r>
        <w:rPr>
          <w:rFonts w:eastAsiaTheme="minorEastAsia"/>
          <w:b/>
          <w:bCs/>
          <w:lang w:eastAsia="ko-KR"/>
        </w:rPr>
        <w:t>. Which correspond to 4dB post PA loss in a FD-FDD environment.</w:t>
      </w:r>
    </w:p>
    <w:p w14:paraId="0CD7642F" w14:textId="77777777" w:rsidR="008C5B42" w:rsidRDefault="008C5B42" w:rsidP="008C5B42">
      <w:pPr>
        <w:pStyle w:val="ListParagraph"/>
        <w:numPr>
          <w:ilvl w:val="0"/>
          <w:numId w:val="43"/>
        </w:numPr>
        <w:spacing w:after="0"/>
        <w:ind w:firstLineChars="0"/>
        <w:rPr>
          <w:b/>
          <w:bCs/>
          <w:lang w:eastAsia="zh-CN"/>
        </w:rPr>
      </w:pPr>
      <w:r>
        <w:rPr>
          <w:b/>
          <w:bCs/>
          <w:lang w:eastAsia="zh-CN"/>
        </w:rPr>
        <w:t>Image and carrier leakage: we propose to use the NR agreed level at 28dB.</w:t>
      </w:r>
    </w:p>
    <w:p w14:paraId="1D50D04C" w14:textId="632BD2B3" w:rsidR="0044674E" w:rsidRPr="008C5B42" w:rsidRDefault="008C5B42" w:rsidP="00DE7CDC">
      <w:pPr>
        <w:pStyle w:val="ListParagraph"/>
        <w:numPr>
          <w:ilvl w:val="0"/>
          <w:numId w:val="43"/>
        </w:numPr>
        <w:spacing w:after="0"/>
        <w:ind w:firstLineChars="0"/>
        <w:rPr>
          <w:b/>
          <w:bCs/>
          <w:lang w:eastAsia="zh-CN"/>
        </w:rPr>
      </w:pPr>
      <w:r>
        <w:rPr>
          <w:b/>
          <w:bCs/>
          <w:lang w:eastAsia="zh-CN"/>
        </w:rPr>
        <w:t>HD-FDD post PA losses: we propose to evaluate 2.5dB and 3dB</w:t>
      </w:r>
      <w:r w:rsidR="00DE7CDC" w:rsidRPr="008C5B42">
        <w:rPr>
          <w:b/>
          <w:bCs/>
          <w:lang w:eastAsia="zh-CN"/>
        </w:rPr>
        <w:t>.</w:t>
      </w:r>
    </w:p>
    <w:p w14:paraId="706A035B" w14:textId="1CCC2FE4" w:rsidR="00C05662" w:rsidRDefault="00F2750F" w:rsidP="00DA1597">
      <w:pPr>
        <w:pStyle w:val="Heading1"/>
        <w:numPr>
          <w:ilvl w:val="0"/>
          <w:numId w:val="1"/>
        </w:numPr>
        <w:ind w:left="567" w:hanging="567"/>
      </w:pPr>
      <w:r>
        <w:t>References</w:t>
      </w:r>
    </w:p>
    <w:p w14:paraId="2F474A9D" w14:textId="2550E314" w:rsidR="00CE2498" w:rsidRDefault="003979DC" w:rsidP="00CE2498">
      <w:pPr>
        <w:spacing w:after="0"/>
      </w:pPr>
      <w:r>
        <w:t>[</w:t>
      </w:r>
      <w:r w:rsidR="00DB055E">
        <w:t>1</w:t>
      </w:r>
      <w:r>
        <w:t xml:space="preserve">] </w:t>
      </w:r>
      <w:r w:rsidR="00A0316F" w:rsidRPr="00A0316F">
        <w:t>R4-</w:t>
      </w:r>
      <w:r w:rsidR="00D21A57" w:rsidRPr="00D21A57">
        <w:t>2500108</w:t>
      </w:r>
      <w:r w:rsidR="00A0316F" w:rsidRPr="00A0316F">
        <w:t xml:space="preserve"> </w:t>
      </w:r>
      <w:r w:rsidR="00D21A57" w:rsidRPr="00D21A57">
        <w:t>Candidate TN PA for IoT-NTN HPUE in smartphones</w:t>
      </w:r>
      <w:r w:rsidR="00797DEB">
        <w:t>, Skyworks Solutions Inc., R4#11</w:t>
      </w:r>
      <w:r w:rsidR="00D21A57">
        <w:t>4</w:t>
      </w:r>
    </w:p>
    <w:p w14:paraId="07E61F8D" w14:textId="7E787C3B" w:rsidR="007E3353" w:rsidRDefault="00CE2498" w:rsidP="00CE2498">
      <w:pPr>
        <w:spacing w:after="0"/>
      </w:pPr>
      <w:r>
        <w:t xml:space="preserve">[2] </w:t>
      </w:r>
      <w:r w:rsidR="00B91958" w:rsidRPr="00B91958">
        <w:t>R4-</w:t>
      </w:r>
      <w:r w:rsidR="00D21A57" w:rsidRPr="00D21A57">
        <w:t>2503006</w:t>
      </w:r>
      <w:r w:rsidR="00B91958" w:rsidRPr="00B91958">
        <w:t xml:space="preserve"> </w:t>
      </w:r>
      <w:r w:rsidR="00D21A57" w:rsidRPr="00D21A57">
        <w:t>WF on HPUE UE requirement for IoT-NTN</w:t>
      </w:r>
      <w:r w:rsidR="00797DEB">
        <w:t xml:space="preserve">, </w:t>
      </w:r>
      <w:r w:rsidR="00D21A57">
        <w:t>vivo</w:t>
      </w:r>
      <w:r w:rsidR="00797DEB">
        <w:t>, R4#11</w:t>
      </w:r>
      <w:r w:rsidR="00D21A57">
        <w:t>4</w:t>
      </w:r>
    </w:p>
    <w:sectPr w:rsid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1CAE1" w14:textId="77777777" w:rsidR="00EB341E" w:rsidRPr="00A10429" w:rsidRDefault="00EB341E" w:rsidP="0064547A">
      <w:pPr>
        <w:spacing w:after="0"/>
        <w:rPr>
          <w:kern w:val="2"/>
          <w:lang w:eastAsia="zh-CN"/>
        </w:rPr>
      </w:pPr>
      <w:r>
        <w:separator/>
      </w:r>
    </w:p>
  </w:endnote>
  <w:endnote w:type="continuationSeparator" w:id="0">
    <w:p w14:paraId="1F400FAE" w14:textId="77777777" w:rsidR="00EB341E" w:rsidRPr="00A10429" w:rsidRDefault="00EB341E" w:rsidP="0064547A">
      <w:pPr>
        <w:spacing w:after="0"/>
        <w:rPr>
          <w:kern w:val="2"/>
          <w:lang w:eastAsia="zh-CN"/>
        </w:rPr>
      </w:pPr>
      <w:r>
        <w:continuationSeparator/>
      </w:r>
    </w:p>
  </w:endnote>
  <w:endnote w:type="continuationNotice" w:id="1">
    <w:p w14:paraId="4294DD5B" w14:textId="77777777" w:rsidR="00EB341E" w:rsidRDefault="00EB3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85E88" w14:textId="77777777" w:rsidR="00EB341E" w:rsidRPr="00A10429" w:rsidRDefault="00EB341E" w:rsidP="0064547A">
      <w:pPr>
        <w:spacing w:after="0"/>
        <w:rPr>
          <w:kern w:val="2"/>
          <w:lang w:eastAsia="zh-CN"/>
        </w:rPr>
      </w:pPr>
      <w:r>
        <w:separator/>
      </w:r>
    </w:p>
  </w:footnote>
  <w:footnote w:type="continuationSeparator" w:id="0">
    <w:p w14:paraId="101DC4E1" w14:textId="77777777" w:rsidR="00EB341E" w:rsidRPr="00A10429" w:rsidRDefault="00EB341E" w:rsidP="0064547A">
      <w:pPr>
        <w:spacing w:after="0"/>
        <w:rPr>
          <w:kern w:val="2"/>
          <w:lang w:eastAsia="zh-CN"/>
        </w:rPr>
      </w:pPr>
      <w:r>
        <w:continuationSeparator/>
      </w:r>
    </w:p>
  </w:footnote>
  <w:footnote w:type="continuationNotice" w:id="1">
    <w:p w14:paraId="3F2E2CE4" w14:textId="77777777" w:rsidR="00EB341E" w:rsidRDefault="00EB34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523DCB"/>
    <w:multiLevelType w:val="hybridMultilevel"/>
    <w:tmpl w:val="CF78B90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4"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0085149"/>
    <w:multiLevelType w:val="hybridMultilevel"/>
    <w:tmpl w:val="2E000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CBE326D"/>
    <w:multiLevelType w:val="hybridMultilevel"/>
    <w:tmpl w:val="8806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3B7CBD"/>
    <w:multiLevelType w:val="hybridMultilevel"/>
    <w:tmpl w:val="7F3A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4F395B"/>
    <w:multiLevelType w:val="hybridMultilevel"/>
    <w:tmpl w:val="797E7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2"/>
  </w:num>
  <w:num w:numId="2" w16cid:durableId="1298339486">
    <w:abstractNumId w:val="9"/>
  </w:num>
  <w:num w:numId="3" w16cid:durableId="730156007">
    <w:abstractNumId w:val="17"/>
  </w:num>
  <w:num w:numId="4" w16cid:durableId="317660584">
    <w:abstractNumId w:val="16"/>
  </w:num>
  <w:num w:numId="5" w16cid:durableId="1858304697">
    <w:abstractNumId w:val="40"/>
  </w:num>
  <w:num w:numId="6" w16cid:durableId="2105563181">
    <w:abstractNumId w:val="8"/>
  </w:num>
  <w:num w:numId="7" w16cid:durableId="633097245">
    <w:abstractNumId w:val="27"/>
  </w:num>
  <w:num w:numId="8" w16cid:durableId="1163470918">
    <w:abstractNumId w:val="21"/>
  </w:num>
  <w:num w:numId="9" w16cid:durableId="255214559">
    <w:abstractNumId w:val="39"/>
  </w:num>
  <w:num w:numId="10" w16cid:durableId="1775591434">
    <w:abstractNumId w:val="41"/>
  </w:num>
  <w:num w:numId="11" w16cid:durableId="1690718188">
    <w:abstractNumId w:val="42"/>
  </w:num>
  <w:num w:numId="12" w16cid:durableId="1051925366">
    <w:abstractNumId w:val="23"/>
  </w:num>
  <w:num w:numId="13" w16cid:durableId="1741057929">
    <w:abstractNumId w:val="24"/>
  </w:num>
  <w:num w:numId="14" w16cid:durableId="232856064">
    <w:abstractNumId w:val="19"/>
  </w:num>
  <w:num w:numId="15" w16cid:durableId="224609546">
    <w:abstractNumId w:val="36"/>
  </w:num>
  <w:num w:numId="16" w16cid:durableId="1767651071">
    <w:abstractNumId w:val="0"/>
  </w:num>
  <w:num w:numId="17" w16cid:durableId="220364000">
    <w:abstractNumId w:val="38"/>
  </w:num>
  <w:num w:numId="18" w16cid:durableId="1462066297">
    <w:abstractNumId w:val="11"/>
  </w:num>
  <w:num w:numId="19" w16cid:durableId="799766590">
    <w:abstractNumId w:val="7"/>
  </w:num>
  <w:num w:numId="20" w16cid:durableId="1479571757">
    <w:abstractNumId w:val="37"/>
  </w:num>
  <w:num w:numId="21" w16cid:durableId="409159420">
    <w:abstractNumId w:val="29"/>
  </w:num>
  <w:num w:numId="22" w16cid:durableId="691032568">
    <w:abstractNumId w:val="25"/>
    <w:lvlOverride w:ilvl="0">
      <w:startOverride w:val="1"/>
    </w:lvlOverride>
  </w:num>
  <w:num w:numId="23" w16cid:durableId="1262377704">
    <w:abstractNumId w:val="30"/>
    <w:lvlOverride w:ilvl="0">
      <w:startOverride w:val="1"/>
    </w:lvlOverride>
  </w:num>
  <w:num w:numId="24" w16cid:durableId="952783814">
    <w:abstractNumId w:val="3"/>
  </w:num>
  <w:num w:numId="25" w16cid:durableId="2048479521">
    <w:abstractNumId w:val="14"/>
  </w:num>
  <w:num w:numId="26" w16cid:durableId="1747603214">
    <w:abstractNumId w:val="2"/>
  </w:num>
  <w:num w:numId="27" w16cid:durableId="330182488">
    <w:abstractNumId w:val="26"/>
  </w:num>
  <w:num w:numId="28" w16cid:durableId="1598051235">
    <w:abstractNumId w:val="28"/>
  </w:num>
  <w:num w:numId="29" w16cid:durableId="463086113">
    <w:abstractNumId w:val="1"/>
  </w:num>
  <w:num w:numId="30" w16cid:durableId="1915696993">
    <w:abstractNumId w:val="20"/>
  </w:num>
  <w:num w:numId="31" w16cid:durableId="1325088776">
    <w:abstractNumId w:val="15"/>
  </w:num>
  <w:num w:numId="32" w16cid:durableId="295642620">
    <w:abstractNumId w:val="34"/>
  </w:num>
  <w:num w:numId="33" w16cid:durableId="1645617766">
    <w:abstractNumId w:val="35"/>
  </w:num>
  <w:num w:numId="34" w16cid:durableId="1492284875">
    <w:abstractNumId w:val="22"/>
  </w:num>
  <w:num w:numId="35" w16cid:durableId="1701469690">
    <w:abstractNumId w:val="4"/>
  </w:num>
  <w:num w:numId="36" w16cid:durableId="1720517422">
    <w:abstractNumId w:val="6"/>
  </w:num>
  <w:num w:numId="37" w16cid:durableId="1521360715">
    <w:abstractNumId w:val="10"/>
  </w:num>
  <w:num w:numId="38" w16cid:durableId="1485126830">
    <w:abstractNumId w:val="5"/>
  </w:num>
  <w:num w:numId="39" w16cid:durableId="1426225898">
    <w:abstractNumId w:val="32"/>
  </w:num>
  <w:num w:numId="40" w16cid:durableId="1377385918">
    <w:abstractNumId w:val="33"/>
  </w:num>
  <w:num w:numId="41" w16cid:durableId="807475525">
    <w:abstractNumId w:val="18"/>
  </w:num>
  <w:num w:numId="42" w16cid:durableId="686637610">
    <w:abstractNumId w:val="13"/>
  </w:num>
  <w:num w:numId="43" w16cid:durableId="326591580">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15"/>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BB2"/>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5A3C"/>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5D19"/>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25"/>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7CE"/>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31F"/>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D3B"/>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41E"/>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ADE"/>
    <w:rsid w:val="00F15EE9"/>
    <w:rsid w:val="00F16158"/>
    <w:rsid w:val="00F1684C"/>
    <w:rsid w:val="00F16862"/>
    <w:rsid w:val="00F16C37"/>
    <w:rsid w:val="00F16D2A"/>
    <w:rsid w:val="00F17E9D"/>
    <w:rsid w:val="00F2043B"/>
    <w:rsid w:val="00F20C9A"/>
    <w:rsid w:val="00F21090"/>
    <w:rsid w:val="00F22418"/>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7</cp:revision>
  <dcterms:created xsi:type="dcterms:W3CDTF">2025-03-28T21:53:00Z</dcterms:created>
  <dcterms:modified xsi:type="dcterms:W3CDTF">2025-03-28T23:23:00Z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